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theme/themeOverride1.xml" ContentType="application/vnd.openxmlformats-officedocument.themeOverrid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charts/chart53.xml" ContentType="application/vnd.openxmlformats-officedocument.drawingml.chart+xml"/>
  <Override PartName="/word/charts/style53.xml" ContentType="application/vnd.ms-office.chartstyle+xml"/>
  <Override PartName="/word/charts/colors53.xml" ContentType="application/vnd.ms-office.chartcolorstyle+xml"/>
  <Override PartName="/word/charts/chart54.xml" ContentType="application/vnd.openxmlformats-officedocument.drawingml.chart+xml"/>
  <Override PartName="/word/charts/style54.xml" ContentType="application/vnd.ms-office.chartstyle+xml"/>
  <Override PartName="/word/charts/colors54.xml" ContentType="application/vnd.ms-office.chartcolorstyle+xml"/>
  <Override PartName="/word/charts/chart55.xml" ContentType="application/vnd.openxmlformats-officedocument.drawingml.chart+xml"/>
  <Override PartName="/word/charts/style55.xml" ContentType="application/vnd.ms-office.chartstyle+xml"/>
  <Override PartName="/word/charts/colors55.xml" ContentType="application/vnd.ms-office.chartcolorstyle+xml"/>
  <Override PartName="/word/charts/chart56.xml" ContentType="application/vnd.openxmlformats-officedocument.drawingml.chart+xml"/>
  <Override PartName="/word/charts/style56.xml" ContentType="application/vnd.ms-office.chartstyle+xml"/>
  <Override PartName="/word/charts/colors56.xml" ContentType="application/vnd.ms-office.chartcolorstyle+xml"/>
  <Override PartName="/word/charts/chart57.xml" ContentType="application/vnd.openxmlformats-officedocument.drawingml.chart+xml"/>
  <Override PartName="/word/charts/style57.xml" ContentType="application/vnd.ms-office.chartstyle+xml"/>
  <Override PartName="/word/charts/colors57.xml" ContentType="application/vnd.ms-office.chartcolorstyle+xml"/>
  <Override PartName="/word/charts/chart58.xml" ContentType="application/vnd.openxmlformats-officedocument.drawingml.chart+xml"/>
  <Override PartName="/word/charts/style58.xml" ContentType="application/vnd.ms-office.chartstyle+xml"/>
  <Override PartName="/word/charts/colors58.xml" ContentType="application/vnd.ms-office.chartcolorstyle+xml"/>
  <Override PartName="/word/charts/chart59.xml" ContentType="application/vnd.openxmlformats-officedocument.drawingml.chart+xml"/>
  <Override PartName="/word/charts/style59.xml" ContentType="application/vnd.ms-office.chartstyle+xml"/>
  <Override PartName="/word/charts/colors59.xml" ContentType="application/vnd.ms-office.chartcolorstyle+xml"/>
  <Override PartName="/word/charts/chart60.xml" ContentType="application/vnd.openxmlformats-officedocument.drawingml.chart+xml"/>
  <Override PartName="/word/charts/style60.xml" ContentType="application/vnd.ms-office.chartstyle+xml"/>
  <Override PartName="/word/charts/colors60.xml" ContentType="application/vnd.ms-office.chartcolorstyle+xml"/>
  <Override PartName="/word/charts/chart61.xml" ContentType="application/vnd.openxmlformats-officedocument.drawingml.chart+xml"/>
  <Override PartName="/word/charts/style61.xml" ContentType="application/vnd.ms-office.chartstyle+xml"/>
  <Override PartName="/word/charts/colors61.xml" ContentType="application/vnd.ms-office.chartcolorstyle+xml"/>
  <Override PartName="/word/charts/chart62.xml" ContentType="application/vnd.openxmlformats-officedocument.drawingml.chart+xml"/>
  <Override PartName="/word/charts/style62.xml" ContentType="application/vnd.ms-office.chartstyle+xml"/>
  <Override PartName="/word/charts/colors62.xml" ContentType="application/vnd.ms-office.chartcolorstyle+xml"/>
  <Override PartName="/word/charts/chart63.xml" ContentType="application/vnd.openxmlformats-officedocument.drawingml.chart+xml"/>
  <Override PartName="/word/charts/style63.xml" ContentType="application/vnd.ms-office.chartstyle+xml"/>
  <Override PartName="/word/charts/colors63.xml" ContentType="application/vnd.ms-office.chartcolorstyle+xml"/>
  <Override PartName="/word/charts/chart64.xml" ContentType="application/vnd.openxmlformats-officedocument.drawingml.chart+xml"/>
  <Override PartName="/word/charts/style64.xml" ContentType="application/vnd.ms-office.chartstyle+xml"/>
  <Override PartName="/word/charts/colors64.xml" ContentType="application/vnd.ms-office.chartcolorstyle+xml"/>
  <Override PartName="/word/charts/chart65.xml" ContentType="application/vnd.openxmlformats-officedocument.drawingml.chart+xml"/>
  <Override PartName="/word/charts/style65.xml" ContentType="application/vnd.ms-office.chartstyle+xml"/>
  <Override PartName="/word/charts/colors65.xml" ContentType="application/vnd.ms-office.chartcolorstyle+xml"/>
  <Override PartName="/word/charts/chart66.xml" ContentType="application/vnd.openxmlformats-officedocument.drawingml.chart+xml"/>
  <Override PartName="/word/charts/style66.xml" ContentType="application/vnd.ms-office.chartstyle+xml"/>
  <Override PartName="/word/charts/colors66.xml" ContentType="application/vnd.ms-office.chartcolorstyle+xml"/>
  <Override PartName="/word/charts/chart67.xml" ContentType="application/vnd.openxmlformats-officedocument.drawingml.chart+xml"/>
  <Override PartName="/word/charts/style67.xml" ContentType="application/vnd.ms-office.chartstyle+xml"/>
  <Override PartName="/word/charts/colors67.xml" ContentType="application/vnd.ms-office.chartcolorstyle+xml"/>
  <Override PartName="/word/charts/chart68.xml" ContentType="application/vnd.openxmlformats-officedocument.drawingml.chart+xml"/>
  <Override PartName="/word/charts/style68.xml" ContentType="application/vnd.ms-office.chartstyle+xml"/>
  <Override PartName="/word/charts/colors68.xml" ContentType="application/vnd.ms-office.chartcolorstyle+xml"/>
  <Override PartName="/word/charts/chart69.xml" ContentType="application/vnd.openxmlformats-officedocument.drawingml.chart+xml"/>
  <Override PartName="/word/charts/style69.xml" ContentType="application/vnd.ms-office.chartstyle+xml"/>
  <Override PartName="/word/charts/colors69.xml" ContentType="application/vnd.ms-office.chartcolorstyle+xml"/>
  <Override PartName="/word/charts/chart70.xml" ContentType="application/vnd.openxmlformats-officedocument.drawingml.chart+xml"/>
  <Override PartName="/word/charts/style70.xml" ContentType="application/vnd.ms-office.chartstyle+xml"/>
  <Override PartName="/word/charts/colors70.xml" ContentType="application/vnd.ms-office.chartcolorstyle+xml"/>
  <Override PartName="/word/charts/chart71.xml" ContentType="application/vnd.openxmlformats-officedocument.drawingml.chart+xml"/>
  <Override PartName="/word/charts/style71.xml" ContentType="application/vnd.ms-office.chartstyle+xml"/>
  <Override PartName="/word/charts/colors71.xml" ContentType="application/vnd.ms-office.chartcolorstyle+xml"/>
  <Override PartName="/word/charts/chart72.xml" ContentType="application/vnd.openxmlformats-officedocument.drawingml.chart+xml"/>
  <Override PartName="/word/charts/style72.xml" ContentType="application/vnd.ms-office.chartstyle+xml"/>
  <Override PartName="/word/charts/colors72.xml" ContentType="application/vnd.ms-office.chartcolorstyle+xml"/>
  <Override PartName="/word/charts/chart73.xml" ContentType="application/vnd.openxmlformats-officedocument.drawingml.chart+xml"/>
  <Override PartName="/word/charts/style73.xml" ContentType="application/vnd.ms-office.chartstyle+xml"/>
  <Override PartName="/word/charts/colors73.xml" ContentType="application/vnd.ms-office.chartcolorstyle+xml"/>
  <Override PartName="/word/charts/chart74.xml" ContentType="application/vnd.openxmlformats-officedocument.drawingml.chart+xml"/>
  <Override PartName="/word/charts/style74.xml" ContentType="application/vnd.ms-office.chartstyle+xml"/>
  <Override PartName="/word/charts/colors74.xml" ContentType="application/vnd.ms-office.chartcolorstyle+xml"/>
  <Override PartName="/word/charts/chart75.xml" ContentType="application/vnd.openxmlformats-officedocument.drawingml.chart+xml"/>
  <Override PartName="/word/charts/style75.xml" ContentType="application/vnd.ms-office.chartstyle+xml"/>
  <Override PartName="/word/charts/colors75.xml" ContentType="application/vnd.ms-office.chartcolorstyle+xml"/>
  <Override PartName="/word/charts/chart76.xml" ContentType="application/vnd.openxmlformats-officedocument.drawingml.chart+xml"/>
  <Override PartName="/word/charts/style76.xml" ContentType="application/vnd.ms-office.chartstyle+xml"/>
  <Override PartName="/word/charts/colors76.xml" ContentType="application/vnd.ms-office.chartcolorstyle+xml"/>
  <Override PartName="/word/charts/chart77.xml" ContentType="application/vnd.openxmlformats-officedocument.drawingml.chart+xml"/>
  <Override PartName="/word/charts/style77.xml" ContentType="application/vnd.ms-office.chartstyle+xml"/>
  <Override PartName="/word/charts/colors77.xml" ContentType="application/vnd.ms-office.chartcolorstyle+xml"/>
  <Override PartName="/word/charts/chart78.xml" ContentType="application/vnd.openxmlformats-officedocument.drawingml.chart+xml"/>
  <Override PartName="/word/charts/style78.xml" ContentType="application/vnd.ms-office.chartstyle+xml"/>
  <Override PartName="/word/charts/colors78.xml" ContentType="application/vnd.ms-office.chartcolorstyle+xml"/>
  <Override PartName="/word/charts/chart79.xml" ContentType="application/vnd.openxmlformats-officedocument.drawingml.chart+xml"/>
  <Override PartName="/word/charts/style79.xml" ContentType="application/vnd.ms-office.chartstyle+xml"/>
  <Override PartName="/word/charts/colors79.xml" ContentType="application/vnd.ms-office.chartcolorstyle+xml"/>
  <Override PartName="/word/charts/chart80.xml" ContentType="application/vnd.openxmlformats-officedocument.drawingml.chart+xml"/>
  <Override PartName="/word/charts/style80.xml" ContentType="application/vnd.ms-office.chartstyle+xml"/>
  <Override PartName="/word/charts/colors80.xml" ContentType="application/vnd.ms-office.chartcolorstyle+xml"/>
  <Override PartName="/word/charts/chart81.xml" ContentType="application/vnd.openxmlformats-officedocument.drawingml.chart+xml"/>
  <Override PartName="/word/charts/style81.xml" ContentType="application/vnd.ms-office.chartstyle+xml"/>
  <Override PartName="/word/charts/colors81.xml" ContentType="application/vnd.ms-office.chartcolorstyle+xml"/>
  <Override PartName="/word/charts/chart82.xml" ContentType="application/vnd.openxmlformats-officedocument.drawingml.chart+xml"/>
  <Override PartName="/word/charts/style82.xml" ContentType="application/vnd.ms-office.chartstyle+xml"/>
  <Override PartName="/word/charts/colors82.xml" ContentType="application/vnd.ms-office.chartcolorstyle+xml"/>
  <Override PartName="/word/charts/chart83.xml" ContentType="application/vnd.openxmlformats-officedocument.drawingml.chart+xml"/>
  <Override PartName="/word/charts/style83.xml" ContentType="application/vnd.ms-office.chartstyle+xml"/>
  <Override PartName="/word/charts/colors83.xml" ContentType="application/vnd.ms-office.chartcolorstyle+xml"/>
  <Override PartName="/word/charts/chart84.xml" ContentType="application/vnd.openxmlformats-officedocument.drawingml.chart+xml"/>
  <Override PartName="/word/charts/style84.xml" ContentType="application/vnd.ms-office.chartstyle+xml"/>
  <Override PartName="/word/charts/colors84.xml" ContentType="application/vnd.ms-office.chartcolorstyle+xml"/>
  <Override PartName="/word/charts/chart85.xml" ContentType="application/vnd.openxmlformats-officedocument.drawingml.chart+xml"/>
  <Override PartName="/word/charts/style85.xml" ContentType="application/vnd.ms-office.chartstyle+xml"/>
  <Override PartName="/word/charts/colors85.xml" ContentType="application/vnd.ms-office.chartcolorstyle+xml"/>
  <Override PartName="/word/charts/chart86.xml" ContentType="application/vnd.openxmlformats-officedocument.drawingml.chart+xml"/>
  <Override PartName="/word/charts/style86.xml" ContentType="application/vnd.ms-office.chartstyle+xml"/>
  <Override PartName="/word/charts/colors86.xml" ContentType="application/vnd.ms-office.chartcolorstyle+xml"/>
  <Override PartName="/word/charts/chart87.xml" ContentType="application/vnd.openxmlformats-officedocument.drawingml.chart+xml"/>
  <Override PartName="/word/charts/style87.xml" ContentType="application/vnd.ms-office.chartstyle+xml"/>
  <Override PartName="/word/charts/colors87.xml" ContentType="application/vnd.ms-office.chartcolorstyle+xml"/>
  <Override PartName="/word/charts/chart88.xml" ContentType="application/vnd.openxmlformats-officedocument.drawingml.chart+xml"/>
  <Override PartName="/word/charts/style88.xml" ContentType="application/vnd.ms-office.chartstyle+xml"/>
  <Override PartName="/word/charts/colors88.xml" ContentType="application/vnd.ms-office.chartcolorstyle+xml"/>
  <Override PartName="/word/charts/chart89.xml" ContentType="application/vnd.openxmlformats-officedocument.drawingml.chart+xml"/>
  <Override PartName="/word/charts/style89.xml" ContentType="application/vnd.ms-office.chartstyle+xml"/>
  <Override PartName="/word/charts/colors89.xml" ContentType="application/vnd.ms-office.chartcolorstyle+xml"/>
  <Override PartName="/word/charts/chart90.xml" ContentType="application/vnd.openxmlformats-officedocument.drawingml.chart+xml"/>
  <Override PartName="/word/charts/style90.xml" ContentType="application/vnd.ms-office.chartstyle+xml"/>
  <Override PartName="/word/charts/colors90.xml" ContentType="application/vnd.ms-office.chartcolorstyle+xml"/>
  <Override PartName="/word/charts/chart91.xml" ContentType="application/vnd.openxmlformats-officedocument.drawingml.chart+xml"/>
  <Override PartName="/word/charts/style91.xml" ContentType="application/vnd.ms-office.chartstyle+xml"/>
  <Override PartName="/word/charts/colors91.xml" ContentType="application/vnd.ms-office.chartcolorstyle+xml"/>
  <Override PartName="/word/charts/chart92.xml" ContentType="application/vnd.openxmlformats-officedocument.drawingml.chart+xml"/>
  <Override PartName="/word/charts/style92.xml" ContentType="application/vnd.ms-office.chartstyle+xml"/>
  <Override PartName="/word/charts/colors92.xml" ContentType="application/vnd.ms-office.chartcolorstyle+xml"/>
  <Override PartName="/word/charts/chart93.xml" ContentType="application/vnd.openxmlformats-officedocument.drawingml.chart+xml"/>
  <Override PartName="/word/charts/style93.xml" ContentType="application/vnd.ms-office.chartstyle+xml"/>
  <Override PartName="/word/charts/colors93.xml" ContentType="application/vnd.ms-office.chartcolorstyle+xml"/>
  <Override PartName="/word/charts/chart94.xml" ContentType="application/vnd.openxmlformats-officedocument.drawingml.chart+xml"/>
  <Override PartName="/word/charts/style94.xml" ContentType="application/vnd.ms-office.chartstyle+xml"/>
  <Override PartName="/word/charts/colors94.xml" ContentType="application/vnd.ms-office.chartcolorstyle+xml"/>
  <Override PartName="/word/charts/chart95.xml" ContentType="application/vnd.openxmlformats-officedocument.drawingml.chart+xml"/>
  <Override PartName="/word/charts/style95.xml" ContentType="application/vnd.ms-office.chartstyle+xml"/>
  <Override PartName="/word/charts/colors95.xml" ContentType="application/vnd.ms-office.chartcolorstyle+xml"/>
  <Override PartName="/word/charts/chart96.xml" ContentType="application/vnd.openxmlformats-officedocument.drawingml.chart+xml"/>
  <Override PartName="/word/charts/style96.xml" ContentType="application/vnd.ms-office.chartstyle+xml"/>
  <Override PartName="/word/charts/colors96.xml" ContentType="application/vnd.ms-office.chartcolorstyle+xml"/>
  <Override PartName="/word/charts/chart97.xml" ContentType="application/vnd.openxmlformats-officedocument.drawingml.chart+xml"/>
  <Override PartName="/word/charts/style97.xml" ContentType="application/vnd.ms-office.chartstyle+xml"/>
  <Override PartName="/word/charts/colors97.xml" ContentType="application/vnd.ms-office.chartcolorstyle+xml"/>
  <Override PartName="/word/charts/chart98.xml" ContentType="application/vnd.openxmlformats-officedocument.drawingml.chart+xml"/>
  <Override PartName="/word/charts/style98.xml" ContentType="application/vnd.ms-office.chartstyle+xml"/>
  <Override PartName="/word/charts/colors9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2354F" w14:textId="157077F3" w:rsidR="00DA556A" w:rsidRPr="0016235B" w:rsidRDefault="000F4D54" w:rsidP="00DA556A">
      <w:pPr>
        <w:pStyle w:val="NoSpacing"/>
        <w:jc w:val="center"/>
        <w:rPr>
          <w:rFonts w:ascii="Candara" w:hAnsi="Candara"/>
          <w:b/>
          <w:sz w:val="32"/>
          <w:szCs w:val="32"/>
        </w:rPr>
      </w:pPr>
      <w:r w:rsidRPr="0016235B">
        <w:rPr>
          <w:rFonts w:ascii="Candara" w:hAnsi="Candara"/>
          <w:b/>
          <w:sz w:val="32"/>
          <w:szCs w:val="32"/>
        </w:rPr>
        <w:t>SERVICE AVAILABILITY AND READINESS ASSESSMENT</w:t>
      </w:r>
      <w:r w:rsidR="002300C7" w:rsidRPr="0016235B">
        <w:rPr>
          <w:rFonts w:ascii="Candara" w:hAnsi="Candara"/>
          <w:b/>
          <w:sz w:val="32"/>
          <w:szCs w:val="32"/>
        </w:rPr>
        <w:t xml:space="preserve"> &amp; DATA QUALITY REVIEW (SARA &amp; DQR 2018) FOR UGANDA.</w:t>
      </w:r>
      <w:r w:rsidRPr="0016235B">
        <w:rPr>
          <w:rFonts w:ascii="Candara" w:hAnsi="Candara"/>
          <w:b/>
          <w:sz w:val="32"/>
          <w:szCs w:val="32"/>
        </w:rPr>
        <w:t xml:space="preserve"> </w:t>
      </w:r>
    </w:p>
    <w:p w14:paraId="70F3CF98" w14:textId="77777777" w:rsidR="00DA556A" w:rsidRPr="0016235B" w:rsidRDefault="00DA556A" w:rsidP="00DA556A">
      <w:pPr>
        <w:jc w:val="center"/>
        <w:rPr>
          <w:rFonts w:ascii="Candara" w:hAnsi="Candara"/>
          <w:b/>
          <w:sz w:val="32"/>
          <w:szCs w:val="32"/>
        </w:rPr>
      </w:pPr>
    </w:p>
    <w:p w14:paraId="546FE763" w14:textId="5CA036A5" w:rsidR="00DA556A" w:rsidRPr="0016235B" w:rsidRDefault="002300C7" w:rsidP="00DA556A">
      <w:pPr>
        <w:jc w:val="center"/>
        <w:rPr>
          <w:rFonts w:ascii="Candara" w:hAnsi="Candara"/>
          <w:b/>
          <w:sz w:val="32"/>
          <w:szCs w:val="32"/>
        </w:rPr>
      </w:pPr>
      <w:r w:rsidRPr="0016235B">
        <w:rPr>
          <w:rFonts w:ascii="Candara" w:hAnsi="Candara"/>
          <w:b/>
          <w:sz w:val="32"/>
          <w:szCs w:val="32"/>
        </w:rPr>
        <w:t>SURVEY REPORT</w:t>
      </w:r>
    </w:p>
    <w:p w14:paraId="640CB3D4" w14:textId="6F4D8EB3" w:rsidR="00DA556A" w:rsidRPr="0016235B" w:rsidRDefault="002300C7" w:rsidP="00DA556A">
      <w:pPr>
        <w:jc w:val="center"/>
        <w:rPr>
          <w:rFonts w:ascii="Candara" w:hAnsi="Candara"/>
          <w:b/>
          <w:sz w:val="32"/>
          <w:szCs w:val="32"/>
        </w:rPr>
      </w:pPr>
      <w:r w:rsidRPr="0016235B">
        <w:rPr>
          <w:rFonts w:ascii="Candara" w:hAnsi="Candara"/>
          <w:b/>
          <w:sz w:val="32"/>
          <w:szCs w:val="32"/>
        </w:rPr>
        <w:t>JUNE</w:t>
      </w:r>
      <w:r w:rsidR="00DA556A" w:rsidRPr="0016235B">
        <w:rPr>
          <w:rFonts w:ascii="Candara" w:hAnsi="Candara"/>
          <w:b/>
          <w:sz w:val="32"/>
          <w:szCs w:val="32"/>
        </w:rPr>
        <w:t xml:space="preserve"> 2019</w:t>
      </w:r>
    </w:p>
    <w:p w14:paraId="565BB750" w14:textId="77777777" w:rsidR="00DA556A" w:rsidRPr="0016235B" w:rsidRDefault="00DA556A" w:rsidP="00DA556A">
      <w:pPr>
        <w:rPr>
          <w:rFonts w:ascii="Candara" w:hAnsi="Candara"/>
          <w:sz w:val="32"/>
          <w:szCs w:val="32"/>
        </w:rPr>
      </w:pPr>
    </w:p>
    <w:p w14:paraId="1794561A" w14:textId="77777777" w:rsidR="00DA556A" w:rsidRPr="0016235B" w:rsidRDefault="00DA556A" w:rsidP="00DA556A">
      <w:pPr>
        <w:rPr>
          <w:rFonts w:ascii="Candara" w:hAnsi="Candara"/>
          <w:sz w:val="32"/>
          <w:szCs w:val="32"/>
        </w:rPr>
      </w:pPr>
    </w:p>
    <w:p w14:paraId="30B7D559" w14:textId="77777777" w:rsidR="00DA556A" w:rsidRPr="0016235B" w:rsidRDefault="00DA556A" w:rsidP="00DA556A">
      <w:pPr>
        <w:rPr>
          <w:rFonts w:ascii="Candara" w:hAnsi="Candara"/>
          <w:sz w:val="32"/>
          <w:szCs w:val="32"/>
        </w:rPr>
      </w:pPr>
    </w:p>
    <w:p w14:paraId="17809020" w14:textId="77777777" w:rsidR="00DA556A" w:rsidRPr="0016235B" w:rsidRDefault="00DA556A" w:rsidP="00DA556A">
      <w:pPr>
        <w:rPr>
          <w:rFonts w:ascii="Candara" w:hAnsi="Candara"/>
          <w:sz w:val="32"/>
          <w:szCs w:val="32"/>
        </w:rPr>
      </w:pPr>
    </w:p>
    <w:p w14:paraId="3A25D878" w14:textId="77777777" w:rsidR="00DA556A" w:rsidRPr="0016235B" w:rsidRDefault="00DA556A" w:rsidP="00DA556A">
      <w:pPr>
        <w:rPr>
          <w:rFonts w:ascii="Candara" w:hAnsi="Candara"/>
          <w:sz w:val="32"/>
          <w:szCs w:val="32"/>
        </w:rPr>
      </w:pPr>
    </w:p>
    <w:p w14:paraId="58EE39F3" w14:textId="77777777" w:rsidR="00DA556A" w:rsidRPr="0016235B" w:rsidRDefault="00DA556A" w:rsidP="00DA556A">
      <w:pPr>
        <w:rPr>
          <w:rFonts w:ascii="Candara" w:hAnsi="Candara"/>
          <w:sz w:val="32"/>
          <w:szCs w:val="32"/>
        </w:rPr>
      </w:pPr>
    </w:p>
    <w:p w14:paraId="46320E9F" w14:textId="77777777" w:rsidR="00DA556A" w:rsidRPr="0016235B" w:rsidRDefault="00DA556A" w:rsidP="00DA556A">
      <w:pPr>
        <w:rPr>
          <w:rFonts w:ascii="Candara" w:hAnsi="Candara"/>
          <w:sz w:val="32"/>
          <w:szCs w:val="32"/>
        </w:rPr>
      </w:pPr>
    </w:p>
    <w:p w14:paraId="0967C075" w14:textId="2C4C7DF5" w:rsidR="00DA556A" w:rsidRPr="0016235B" w:rsidRDefault="000F4D54" w:rsidP="00DA556A">
      <w:pPr>
        <w:jc w:val="center"/>
        <w:rPr>
          <w:rFonts w:ascii="Candara" w:hAnsi="Candara"/>
          <w:b/>
          <w:sz w:val="32"/>
          <w:szCs w:val="32"/>
        </w:rPr>
      </w:pPr>
      <w:r w:rsidRPr="0016235B">
        <w:rPr>
          <w:rFonts w:ascii="Candara" w:hAnsi="Candara"/>
          <w:b/>
          <w:sz w:val="32"/>
          <w:szCs w:val="32"/>
        </w:rPr>
        <w:t>MINISTRY OF HEALTH</w:t>
      </w:r>
    </w:p>
    <w:p w14:paraId="6F5DEE47" w14:textId="77777777" w:rsidR="00803EE2" w:rsidRPr="0016235B" w:rsidRDefault="00803EE2">
      <w:pPr>
        <w:rPr>
          <w:rFonts w:ascii="Candara" w:hAnsi="Candara"/>
          <w:b/>
          <w:sz w:val="28"/>
          <w:szCs w:val="28"/>
        </w:rPr>
      </w:pPr>
    </w:p>
    <w:p w14:paraId="6E54E051" w14:textId="77777777" w:rsidR="002300C7" w:rsidRPr="0016235B" w:rsidRDefault="002300C7">
      <w:pPr>
        <w:rPr>
          <w:rFonts w:ascii="Candara" w:eastAsiaTheme="majorEastAsia" w:hAnsi="Candara" w:cstheme="majorBidi"/>
          <w:b/>
          <w:color w:val="2F5496" w:themeColor="accent1" w:themeShade="BF"/>
          <w:sz w:val="28"/>
          <w:szCs w:val="28"/>
        </w:rPr>
      </w:pPr>
      <w:r w:rsidRPr="0016235B">
        <w:rPr>
          <w:rFonts w:ascii="Candara" w:hAnsi="Candara"/>
          <w:b/>
          <w:sz w:val="28"/>
          <w:szCs w:val="28"/>
        </w:rPr>
        <w:br w:type="page"/>
      </w:r>
    </w:p>
    <w:p w14:paraId="555796C2" w14:textId="304EF33A" w:rsidR="00FF210A" w:rsidRPr="0016235B" w:rsidRDefault="00803EE2" w:rsidP="00FF210A">
      <w:pPr>
        <w:pStyle w:val="Heading1"/>
        <w:rPr>
          <w:rFonts w:ascii="Candara" w:hAnsi="Candara"/>
          <w:b/>
          <w:sz w:val="28"/>
          <w:szCs w:val="28"/>
        </w:rPr>
      </w:pPr>
      <w:bookmarkStart w:id="0" w:name="_Toc11494014"/>
      <w:r w:rsidRPr="0016235B">
        <w:rPr>
          <w:rFonts w:ascii="Candara" w:hAnsi="Candara"/>
          <w:b/>
          <w:sz w:val="28"/>
          <w:szCs w:val="28"/>
        </w:rPr>
        <w:lastRenderedPageBreak/>
        <w:t>Preface</w:t>
      </w:r>
      <w:bookmarkEnd w:id="0"/>
    </w:p>
    <w:p w14:paraId="50DFB792" w14:textId="77777777" w:rsidR="0016235B" w:rsidRDefault="0016235B" w:rsidP="006D5C61">
      <w:pPr>
        <w:jc w:val="both"/>
        <w:rPr>
          <w:rFonts w:ascii="Candara" w:hAnsi="Candara"/>
        </w:rPr>
      </w:pPr>
    </w:p>
    <w:p w14:paraId="25C88901" w14:textId="4F919CC6" w:rsidR="006D5C61" w:rsidRPr="0016235B" w:rsidRDefault="006D5C61" w:rsidP="00D7559C">
      <w:pPr>
        <w:jc w:val="both"/>
        <w:rPr>
          <w:rFonts w:ascii="Candara" w:hAnsi="Candara"/>
          <w:b/>
        </w:rPr>
      </w:pPr>
      <w:r w:rsidRPr="0016235B">
        <w:rPr>
          <w:rFonts w:ascii="Candara" w:hAnsi="Candara"/>
        </w:rPr>
        <w:t>Uganda has so far conducted four major facility assessments using the Service Provision Assessment (SPA) tool and the Service Availability and Readiness Assessments (SARA) tool. The facility assessment using the SPA tool was conducted in 2007 by M</w:t>
      </w:r>
      <w:r w:rsidR="00345D4F" w:rsidRPr="0016235B">
        <w:rPr>
          <w:rFonts w:ascii="Candara" w:hAnsi="Candara"/>
        </w:rPr>
        <w:t>inistry of Health (MO</w:t>
      </w:r>
      <w:r w:rsidRPr="0016235B">
        <w:rPr>
          <w:rFonts w:ascii="Candara" w:hAnsi="Candara"/>
        </w:rPr>
        <w:t>H</w:t>
      </w:r>
      <w:r w:rsidR="00345D4F" w:rsidRPr="0016235B">
        <w:rPr>
          <w:rFonts w:ascii="Candara" w:hAnsi="Candara"/>
        </w:rPr>
        <w:t>)</w:t>
      </w:r>
      <w:r w:rsidRPr="0016235B">
        <w:rPr>
          <w:rFonts w:ascii="Candara" w:hAnsi="Candara"/>
        </w:rPr>
        <w:t xml:space="preserve"> in collaboration with the Uganda Bureau of Statistics, with technical assistance from Macro International Inc. This was conducted in 491 Health facilities and findings were published and disseminated widely.</w:t>
      </w:r>
      <w:r w:rsidR="0016235B">
        <w:rPr>
          <w:rFonts w:ascii="Candara" w:hAnsi="Candara"/>
        </w:rPr>
        <w:t xml:space="preserve"> </w:t>
      </w:r>
      <w:r w:rsidRPr="0016235B">
        <w:rPr>
          <w:rFonts w:ascii="Candara" w:hAnsi="Candara"/>
        </w:rPr>
        <w:t>In 2012 the Ministry of Health in collaboration with World Health Organization (WHO) conducted facility assessment using the SARA tool in 95 health facilities from five districts across the 5 geographical zones in the country, including a data quality assessment. The second SARA was conducted in 2013 in a sample of 209 health facilities in 10 districts, including all regional referral hospitals. The findings of the SARA 2013 were used to inform the Mid-Term Review of the Health Sector Strategic and Investment Plan (HSSIP) 2010/11 – 2014/15.</w:t>
      </w:r>
    </w:p>
    <w:p w14:paraId="283E9434" w14:textId="77777777" w:rsidR="0016235B" w:rsidRDefault="00D7559C" w:rsidP="006D5C61">
      <w:pPr>
        <w:jc w:val="both"/>
        <w:rPr>
          <w:rFonts w:ascii="Candara" w:eastAsia="MS Mincho" w:hAnsi="Candara"/>
        </w:rPr>
      </w:pPr>
      <w:r w:rsidRPr="0016235B">
        <w:rPr>
          <w:rFonts w:ascii="Candara" w:hAnsi="Candara"/>
        </w:rPr>
        <w:t xml:space="preserve">The goal of the Health Sector Development Plan (HSDP) is to accelerate movement towards Universal Health Coverage (UHC) with essential health and related services needed for promotion of a healthy and productive life. </w:t>
      </w:r>
      <w:r w:rsidRPr="0016235B">
        <w:rPr>
          <w:rFonts w:ascii="Candara" w:eastAsia="MS Mincho" w:hAnsi="Candara"/>
        </w:rPr>
        <w:t>Plan sets key objectives to be attained during the 5-year period. These include: (</w:t>
      </w:r>
      <w:proofErr w:type="spellStart"/>
      <w:r w:rsidRPr="0016235B">
        <w:rPr>
          <w:rFonts w:ascii="Candara" w:eastAsia="MS Mincho" w:hAnsi="Candara"/>
        </w:rPr>
        <w:t>i</w:t>
      </w:r>
      <w:proofErr w:type="spellEnd"/>
      <w:r w:rsidRPr="0016235B">
        <w:rPr>
          <w:rFonts w:ascii="Candara" w:eastAsia="MS Mincho" w:hAnsi="Candara"/>
        </w:rPr>
        <w:t xml:space="preserve">) contributing to the production of a healthy human capital for wealth creation through provision of equitable, safe and sustainable health services.; (ii) increasing financial risk protection of households against impoverishment due to health expenditures.; (iii) addressing the key determinants of health through strengthening intersectoral collaboration and partnerships.; and (iv) enhancing health sector competitiveness in the region and globally. </w:t>
      </w:r>
      <w:r w:rsidR="00EF37B7" w:rsidRPr="0016235B">
        <w:rPr>
          <w:rFonts w:ascii="Candara" w:eastAsia="MS Mincho" w:hAnsi="Candara"/>
        </w:rPr>
        <w:t>To</w:t>
      </w:r>
      <w:r w:rsidRPr="0016235B">
        <w:rPr>
          <w:rFonts w:ascii="Candara" w:eastAsia="MS Mincho" w:hAnsi="Candara"/>
        </w:rPr>
        <w:t xml:space="preserve"> achieve these objectives, the health sector will work towards strengthening the national health system including governance; disease prevention, mitigation and control; health education and promotion, curative services; rehabilitation services; palliative services; and health infrastructure </w:t>
      </w:r>
      <w:r w:rsidR="000D0AFE" w:rsidRPr="0016235B">
        <w:rPr>
          <w:rFonts w:ascii="Candara" w:eastAsia="MS Mincho" w:hAnsi="Candara"/>
        </w:rPr>
        <w:t>development.</w:t>
      </w:r>
    </w:p>
    <w:p w14:paraId="49412643" w14:textId="03C85BFF" w:rsidR="006D5C61" w:rsidRPr="0016235B" w:rsidRDefault="000D0AFE" w:rsidP="006D5C61">
      <w:pPr>
        <w:jc w:val="both"/>
        <w:rPr>
          <w:rFonts w:ascii="Candara" w:hAnsi="Candara"/>
          <w:b/>
        </w:rPr>
      </w:pPr>
      <w:r w:rsidRPr="0016235B">
        <w:rPr>
          <w:rFonts w:ascii="Candara" w:hAnsi="Candara" w:cs="Calibri"/>
          <w:lang w:val="en-GB"/>
        </w:rPr>
        <w:t>The</w:t>
      </w:r>
      <w:r w:rsidR="00EF37B7" w:rsidRPr="0016235B">
        <w:rPr>
          <w:rFonts w:ascii="Candara" w:hAnsi="Candara" w:cs="Calibri"/>
          <w:lang w:val="en-GB"/>
        </w:rPr>
        <w:t xml:space="preserve"> SARA</w:t>
      </w:r>
      <w:r w:rsidR="00D7559C" w:rsidRPr="0016235B">
        <w:rPr>
          <w:rFonts w:ascii="Candara" w:hAnsi="Candara" w:cs="Calibri"/>
          <w:lang w:val="en-GB"/>
        </w:rPr>
        <w:t>/DQ</w:t>
      </w:r>
      <w:r w:rsidR="00EF37B7" w:rsidRPr="0016235B">
        <w:rPr>
          <w:rFonts w:ascii="Candara" w:hAnsi="Candara" w:cs="Calibri"/>
          <w:lang w:val="en-GB"/>
        </w:rPr>
        <w:t>R</w:t>
      </w:r>
      <w:r w:rsidR="00D7559C" w:rsidRPr="0016235B">
        <w:rPr>
          <w:rFonts w:ascii="Candara" w:hAnsi="Candara" w:cs="Calibri"/>
          <w:lang w:val="en-GB"/>
        </w:rPr>
        <w:t xml:space="preserve"> serves as a monitoring and evaluation tool of the national health strategy and provides key information on progress of health system strengthening over time. </w:t>
      </w:r>
      <w:r w:rsidR="00D7559C" w:rsidRPr="0016235B">
        <w:rPr>
          <w:rFonts w:ascii="Candara" w:hAnsi="Candara" w:cs="Calibri"/>
          <w:bCs/>
        </w:rPr>
        <w:t xml:space="preserve">It facilitates </w:t>
      </w:r>
      <w:r w:rsidR="00D7559C" w:rsidRPr="0016235B">
        <w:rPr>
          <w:rFonts w:ascii="Candara" w:hAnsi="Candara" w:cs="Calibri"/>
          <w:lang w:val="en-GB"/>
        </w:rPr>
        <w:t xml:space="preserve">identification of gaps and weaknesses responsible for suboptimal service provision and intervention coverage that need to be </w:t>
      </w:r>
      <w:r w:rsidR="00EF37B7" w:rsidRPr="0016235B">
        <w:rPr>
          <w:rFonts w:ascii="Candara" w:hAnsi="Candara" w:cs="Calibri"/>
          <w:lang w:val="en-GB"/>
        </w:rPr>
        <w:t>addressed and</w:t>
      </w:r>
      <w:r w:rsidR="00D7559C" w:rsidRPr="0016235B">
        <w:rPr>
          <w:rFonts w:ascii="Candara" w:hAnsi="Candara" w:cs="Calibri"/>
          <w:lang w:val="en-GB"/>
        </w:rPr>
        <w:t xml:space="preserve"> provides a baseline for planning and monitoring scale-up of interventions for service delivery improvement. The data verification module is to provide key information on the consistency of reporting for monthly reported data from health facilities (discrepancies between data in primary source documents and monthly reports).</w:t>
      </w:r>
    </w:p>
    <w:p w14:paraId="6365C595" w14:textId="488E1F3B" w:rsidR="006D5C61" w:rsidRPr="0016235B" w:rsidRDefault="006D5C61" w:rsidP="006D5C61">
      <w:pPr>
        <w:jc w:val="both"/>
        <w:rPr>
          <w:rFonts w:ascii="Candara" w:hAnsi="Candara"/>
        </w:rPr>
      </w:pPr>
      <w:r w:rsidRPr="0016235B">
        <w:rPr>
          <w:rFonts w:ascii="Candara" w:hAnsi="Candara"/>
        </w:rPr>
        <w:t xml:space="preserve">This report will be used by </w:t>
      </w:r>
      <w:r w:rsidR="0016235B">
        <w:rPr>
          <w:rFonts w:ascii="Candara" w:hAnsi="Candara"/>
        </w:rPr>
        <w:t xml:space="preserve">several stakeholders </w:t>
      </w:r>
      <w:r w:rsidR="004A183D">
        <w:rPr>
          <w:rFonts w:ascii="Candara" w:hAnsi="Candara"/>
        </w:rPr>
        <w:t>including but not limited to</w:t>
      </w:r>
      <w:r w:rsidRPr="0016235B">
        <w:rPr>
          <w:rFonts w:ascii="Candara" w:hAnsi="Candara"/>
        </w:rPr>
        <w:t>, health service managers, district leaders,</w:t>
      </w:r>
      <w:r w:rsidR="004A183D">
        <w:rPr>
          <w:rFonts w:ascii="Candara" w:hAnsi="Candara"/>
        </w:rPr>
        <w:t xml:space="preserve"> other </w:t>
      </w:r>
      <w:r w:rsidR="004A183D" w:rsidRPr="0016235B">
        <w:rPr>
          <w:rFonts w:ascii="Candara" w:hAnsi="Candara"/>
        </w:rPr>
        <w:t>ministries</w:t>
      </w:r>
      <w:r w:rsidR="004A183D">
        <w:rPr>
          <w:rFonts w:ascii="Candara" w:hAnsi="Candara"/>
        </w:rPr>
        <w:t xml:space="preserve"> of government, </w:t>
      </w:r>
      <w:r w:rsidRPr="0016235B">
        <w:rPr>
          <w:rFonts w:ascii="Candara" w:hAnsi="Candara"/>
        </w:rPr>
        <w:t xml:space="preserve">private sector, Civil Society Organizations and Development Partners at different levels and occasions. </w:t>
      </w:r>
    </w:p>
    <w:p w14:paraId="5CC88AAC" w14:textId="0DEDC464" w:rsidR="006D5C61" w:rsidRPr="0016235B" w:rsidRDefault="006D5C61" w:rsidP="006D5C61">
      <w:pPr>
        <w:jc w:val="both"/>
        <w:rPr>
          <w:rFonts w:ascii="Candara" w:hAnsi="Candara"/>
        </w:rPr>
      </w:pPr>
      <w:r w:rsidRPr="0016235B">
        <w:rPr>
          <w:rFonts w:ascii="Candara" w:hAnsi="Candara"/>
        </w:rPr>
        <w:t xml:space="preserve">The </w:t>
      </w:r>
      <w:r w:rsidR="00D7559C" w:rsidRPr="0016235B">
        <w:rPr>
          <w:rFonts w:ascii="Candara" w:hAnsi="Candara"/>
        </w:rPr>
        <w:t xml:space="preserve">data collection teams for this </w:t>
      </w:r>
      <w:r w:rsidRPr="0016235B">
        <w:rPr>
          <w:rFonts w:ascii="Candara" w:hAnsi="Candara"/>
        </w:rPr>
        <w:t>SARA</w:t>
      </w:r>
      <w:r w:rsidR="00D7559C" w:rsidRPr="0016235B">
        <w:rPr>
          <w:rFonts w:ascii="Candara" w:hAnsi="Candara"/>
        </w:rPr>
        <w:t xml:space="preserve"> report</w:t>
      </w:r>
      <w:r w:rsidRPr="0016235B">
        <w:rPr>
          <w:rFonts w:ascii="Candara" w:hAnsi="Candara"/>
        </w:rPr>
        <w:t xml:space="preserve"> collected data on the state of the health system in terms of service availability and readiness by health region, facility location, ownership and level of care. </w:t>
      </w:r>
      <w:r w:rsidR="00D7559C" w:rsidRPr="0016235B">
        <w:rPr>
          <w:rFonts w:ascii="Candara" w:hAnsi="Candara"/>
        </w:rPr>
        <w:t>This data was collected in January 2018 across the country.</w:t>
      </w:r>
    </w:p>
    <w:p w14:paraId="147CCB05" w14:textId="7593F5A2" w:rsidR="006D5C61" w:rsidRPr="0016235B" w:rsidRDefault="00D7559C" w:rsidP="00EF37B7">
      <w:pPr>
        <w:rPr>
          <w:rFonts w:ascii="Candara" w:hAnsi="Candara"/>
        </w:rPr>
      </w:pPr>
      <w:r w:rsidRPr="0016235B">
        <w:rPr>
          <w:rFonts w:ascii="Candara" w:hAnsi="Candara"/>
        </w:rPr>
        <w:t xml:space="preserve">The major limitation for this report is that there was a </w:t>
      </w:r>
      <w:r w:rsidR="00EF37B7" w:rsidRPr="0016235B">
        <w:rPr>
          <w:rFonts w:ascii="Candara" w:hAnsi="Candara"/>
        </w:rPr>
        <w:t>long-time</w:t>
      </w:r>
      <w:r w:rsidRPr="0016235B">
        <w:rPr>
          <w:rFonts w:ascii="Candara" w:hAnsi="Candara"/>
        </w:rPr>
        <w:t xml:space="preserve"> lag between data collection and report writing. Data was collected using hard copies which led to some </w:t>
      </w:r>
      <w:r w:rsidR="00EF37B7" w:rsidRPr="0016235B">
        <w:rPr>
          <w:rFonts w:ascii="Candara" w:hAnsi="Candara"/>
        </w:rPr>
        <w:t>hard copy tools getting lost.</w:t>
      </w:r>
    </w:p>
    <w:p w14:paraId="12852CD3" w14:textId="77777777" w:rsidR="006D5C61" w:rsidRPr="0016235B" w:rsidRDefault="006D5C61" w:rsidP="006D5C61">
      <w:pPr>
        <w:rPr>
          <w:rFonts w:ascii="Candara" w:hAnsi="Candara"/>
          <w:b/>
        </w:rPr>
      </w:pPr>
    </w:p>
    <w:p w14:paraId="1A15625D" w14:textId="77777777" w:rsidR="006D5C61" w:rsidRPr="0016235B" w:rsidRDefault="006D5C61" w:rsidP="006D5C61">
      <w:pPr>
        <w:rPr>
          <w:rFonts w:ascii="Candara" w:hAnsi="Candara"/>
          <w:b/>
          <w:sz w:val="28"/>
          <w:szCs w:val="28"/>
        </w:rPr>
      </w:pPr>
      <w:r w:rsidRPr="0016235B">
        <w:rPr>
          <w:rFonts w:ascii="Candara" w:hAnsi="Candara"/>
          <w:b/>
          <w:sz w:val="28"/>
          <w:szCs w:val="28"/>
        </w:rPr>
        <w:br w:type="page"/>
      </w:r>
    </w:p>
    <w:p w14:paraId="416B36BE" w14:textId="77777777" w:rsidR="006D5C61" w:rsidRPr="0016235B" w:rsidRDefault="006D5C61" w:rsidP="006D5C61">
      <w:pPr>
        <w:pStyle w:val="Heading1"/>
        <w:rPr>
          <w:rFonts w:ascii="Candara" w:hAnsi="Candara"/>
          <w:b/>
          <w:sz w:val="28"/>
          <w:szCs w:val="28"/>
        </w:rPr>
      </w:pPr>
      <w:bookmarkStart w:id="1" w:name="_Toc11173732"/>
      <w:bookmarkStart w:id="2" w:name="_Toc11494015"/>
      <w:r w:rsidRPr="0016235B">
        <w:rPr>
          <w:rFonts w:ascii="Candara" w:hAnsi="Candara"/>
          <w:b/>
          <w:sz w:val="28"/>
          <w:szCs w:val="28"/>
        </w:rPr>
        <w:lastRenderedPageBreak/>
        <w:t>Acknowledgement</w:t>
      </w:r>
      <w:bookmarkEnd w:id="1"/>
      <w:bookmarkEnd w:id="2"/>
    </w:p>
    <w:p w14:paraId="491FF043" w14:textId="77777777" w:rsidR="006D5C61" w:rsidRPr="0016235B" w:rsidRDefault="006D5C61" w:rsidP="006D5C61">
      <w:pPr>
        <w:rPr>
          <w:rFonts w:ascii="Candara" w:hAnsi="Candara"/>
        </w:rPr>
      </w:pPr>
    </w:p>
    <w:p w14:paraId="695120FD" w14:textId="77777777" w:rsidR="006D5C61" w:rsidRPr="0016235B" w:rsidRDefault="006D5C61" w:rsidP="006D5C61">
      <w:pPr>
        <w:rPr>
          <w:rFonts w:ascii="Candara" w:hAnsi="Candara"/>
        </w:rPr>
      </w:pPr>
      <w:r w:rsidRPr="0016235B">
        <w:rPr>
          <w:rFonts w:ascii="Candara" w:hAnsi="Candara"/>
        </w:rPr>
        <w:t>Acknowledgements</w:t>
      </w:r>
    </w:p>
    <w:p w14:paraId="686B8444" w14:textId="77777777" w:rsidR="006D5C61" w:rsidRPr="0016235B" w:rsidRDefault="006D5C61" w:rsidP="006D5C61">
      <w:pPr>
        <w:rPr>
          <w:rFonts w:ascii="Candara" w:hAnsi="Candara"/>
        </w:rPr>
      </w:pPr>
      <w:r w:rsidRPr="0016235B">
        <w:rPr>
          <w:rFonts w:ascii="Candara" w:hAnsi="Candara"/>
        </w:rPr>
        <w:t xml:space="preserve">The Ministry of Health would like to express its appreciation to all key stakeholders who supported the SARA exercise; </w:t>
      </w:r>
    </w:p>
    <w:p w14:paraId="7FBE164A" w14:textId="77777777" w:rsidR="006D5C61" w:rsidRPr="0016235B" w:rsidRDefault="006D5C61" w:rsidP="006D5C61">
      <w:pPr>
        <w:rPr>
          <w:rFonts w:ascii="Candara" w:hAnsi="Candara"/>
        </w:rPr>
      </w:pPr>
      <w:r w:rsidRPr="0016235B">
        <w:rPr>
          <w:rFonts w:ascii="Candara" w:hAnsi="Candara"/>
        </w:rPr>
        <w:t>Institutions:</w:t>
      </w:r>
    </w:p>
    <w:p w14:paraId="3A6A232C" w14:textId="77777777" w:rsidR="006D5C61" w:rsidRPr="0016235B" w:rsidRDefault="006D5C61" w:rsidP="006D5C61">
      <w:pPr>
        <w:pStyle w:val="ListParagraph"/>
        <w:numPr>
          <w:ilvl w:val="0"/>
          <w:numId w:val="35"/>
        </w:numPr>
        <w:rPr>
          <w:rFonts w:ascii="Candara" w:hAnsi="Candara"/>
        </w:rPr>
      </w:pPr>
      <w:r w:rsidRPr="0016235B">
        <w:rPr>
          <w:rFonts w:ascii="Candara" w:hAnsi="Candara"/>
        </w:rPr>
        <w:t>Ministry of Health led by QA department – coordinating, training, data collection report writing and dissemination of the reports</w:t>
      </w:r>
    </w:p>
    <w:p w14:paraId="14D4266E" w14:textId="23365507" w:rsidR="006D5C61" w:rsidRPr="0016235B" w:rsidRDefault="006D5C61" w:rsidP="006D5C61">
      <w:pPr>
        <w:pStyle w:val="ListParagraph"/>
        <w:numPr>
          <w:ilvl w:val="0"/>
          <w:numId w:val="35"/>
        </w:numPr>
        <w:rPr>
          <w:rFonts w:ascii="Candara" w:hAnsi="Candara"/>
        </w:rPr>
      </w:pPr>
      <w:r w:rsidRPr="0016235B">
        <w:rPr>
          <w:rFonts w:ascii="Candara" w:hAnsi="Candara"/>
        </w:rPr>
        <w:t xml:space="preserve">WHO (Country office and AFRO) – Technical support </w:t>
      </w:r>
    </w:p>
    <w:p w14:paraId="29D2FC77" w14:textId="77777777" w:rsidR="006D5C61" w:rsidRPr="0016235B" w:rsidRDefault="006D5C61" w:rsidP="006D5C61">
      <w:pPr>
        <w:pStyle w:val="ListParagraph"/>
        <w:numPr>
          <w:ilvl w:val="0"/>
          <w:numId w:val="35"/>
        </w:numPr>
        <w:rPr>
          <w:rFonts w:ascii="Candara" w:hAnsi="Candara"/>
        </w:rPr>
      </w:pPr>
      <w:r w:rsidRPr="0016235B">
        <w:rPr>
          <w:rFonts w:ascii="Candara" w:hAnsi="Candara"/>
        </w:rPr>
        <w:t xml:space="preserve">John Snow Institute (JSI) – External Quality Assurance </w:t>
      </w:r>
    </w:p>
    <w:p w14:paraId="1E2C250B" w14:textId="77777777" w:rsidR="006D5C61" w:rsidRPr="0016235B" w:rsidRDefault="006D5C61" w:rsidP="006D5C61">
      <w:pPr>
        <w:pStyle w:val="ListParagraph"/>
        <w:numPr>
          <w:ilvl w:val="0"/>
          <w:numId w:val="35"/>
        </w:numPr>
        <w:rPr>
          <w:rFonts w:ascii="Candara" w:hAnsi="Candara"/>
        </w:rPr>
      </w:pPr>
      <w:r w:rsidRPr="0016235B">
        <w:rPr>
          <w:rFonts w:ascii="Candara" w:hAnsi="Candara"/>
        </w:rPr>
        <w:t>Global Fund – Funding</w:t>
      </w:r>
    </w:p>
    <w:p w14:paraId="1E95D93C" w14:textId="58209B98" w:rsidR="006D5C61" w:rsidRPr="0016235B" w:rsidRDefault="006D5C61" w:rsidP="006D5C61">
      <w:pPr>
        <w:pStyle w:val="ListParagraph"/>
        <w:numPr>
          <w:ilvl w:val="0"/>
          <w:numId w:val="35"/>
        </w:numPr>
        <w:rPr>
          <w:rFonts w:ascii="Candara" w:hAnsi="Candara"/>
        </w:rPr>
      </w:pPr>
      <w:r w:rsidRPr="0016235B">
        <w:rPr>
          <w:rFonts w:ascii="Candara" w:hAnsi="Candara"/>
        </w:rPr>
        <w:t xml:space="preserve">The district and health </w:t>
      </w:r>
      <w:r w:rsidR="005018D9" w:rsidRPr="0016235B">
        <w:rPr>
          <w:rFonts w:ascii="Candara" w:hAnsi="Candara"/>
        </w:rPr>
        <w:t>facilities</w:t>
      </w:r>
      <w:r w:rsidRPr="0016235B">
        <w:rPr>
          <w:rFonts w:ascii="Candara" w:hAnsi="Candara"/>
        </w:rPr>
        <w:t xml:space="preserve"> w</w:t>
      </w:r>
      <w:r w:rsidR="004D644A" w:rsidRPr="0016235B">
        <w:rPr>
          <w:rFonts w:ascii="Candara" w:hAnsi="Candara"/>
        </w:rPr>
        <w:t>h</w:t>
      </w:r>
      <w:r w:rsidRPr="0016235B">
        <w:rPr>
          <w:rFonts w:ascii="Candara" w:hAnsi="Candara"/>
        </w:rPr>
        <w:t>ere data was collected</w:t>
      </w:r>
      <w:r w:rsidR="005018D9" w:rsidRPr="0016235B">
        <w:rPr>
          <w:rFonts w:ascii="Candara" w:hAnsi="Candara"/>
        </w:rPr>
        <w:t>.</w:t>
      </w:r>
    </w:p>
    <w:p w14:paraId="75BB9C26" w14:textId="77777777" w:rsidR="006D5C61" w:rsidRPr="0016235B" w:rsidRDefault="006D5C61" w:rsidP="006D5C61">
      <w:pPr>
        <w:rPr>
          <w:rFonts w:ascii="Candara" w:hAnsi="Candara"/>
        </w:rPr>
      </w:pPr>
      <w:r w:rsidRPr="0016235B">
        <w:rPr>
          <w:rFonts w:ascii="Candara" w:hAnsi="Candara"/>
        </w:rPr>
        <w:t>Individuals:</w:t>
      </w:r>
    </w:p>
    <w:p w14:paraId="39625757"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w:t>
      </w:r>
      <w:proofErr w:type="spellStart"/>
      <w:r w:rsidRPr="0016235B">
        <w:rPr>
          <w:rFonts w:ascii="Candara" w:hAnsi="Candara"/>
        </w:rPr>
        <w:t>Mwebesa</w:t>
      </w:r>
      <w:proofErr w:type="spellEnd"/>
      <w:r w:rsidRPr="0016235B">
        <w:rPr>
          <w:rFonts w:ascii="Candara" w:hAnsi="Candara"/>
        </w:rPr>
        <w:t xml:space="preserve"> Hendry – DGHS MoH</w:t>
      </w:r>
    </w:p>
    <w:p w14:paraId="0CBD7010"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w:t>
      </w:r>
      <w:proofErr w:type="spellStart"/>
      <w:r w:rsidRPr="0016235B">
        <w:rPr>
          <w:rFonts w:ascii="Candara" w:hAnsi="Candara"/>
        </w:rPr>
        <w:t>Okware</w:t>
      </w:r>
      <w:proofErr w:type="spellEnd"/>
      <w:r w:rsidRPr="0016235B">
        <w:rPr>
          <w:rFonts w:ascii="Candara" w:hAnsi="Candara"/>
        </w:rPr>
        <w:t xml:space="preserve"> Joseph- CHS – SCAPP MoH</w:t>
      </w:r>
    </w:p>
    <w:p w14:paraId="5A80C5EA"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Sarah </w:t>
      </w:r>
      <w:proofErr w:type="spellStart"/>
      <w:r w:rsidRPr="0016235B">
        <w:rPr>
          <w:rFonts w:ascii="Candara" w:hAnsi="Candara"/>
        </w:rPr>
        <w:t>Byakika</w:t>
      </w:r>
      <w:proofErr w:type="spellEnd"/>
      <w:r w:rsidRPr="0016235B">
        <w:rPr>
          <w:rFonts w:ascii="Candara" w:hAnsi="Candara"/>
        </w:rPr>
        <w:t xml:space="preserve"> – CHS – Planning</w:t>
      </w:r>
    </w:p>
    <w:p w14:paraId="19359361"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Jackson </w:t>
      </w:r>
      <w:proofErr w:type="spellStart"/>
      <w:r w:rsidRPr="0016235B">
        <w:rPr>
          <w:rFonts w:ascii="Candara" w:hAnsi="Candara"/>
        </w:rPr>
        <w:t>Amone</w:t>
      </w:r>
      <w:proofErr w:type="spellEnd"/>
      <w:r w:rsidRPr="0016235B">
        <w:rPr>
          <w:rFonts w:ascii="Candara" w:hAnsi="Candara"/>
        </w:rPr>
        <w:t xml:space="preserve"> – CHS – Clinical services</w:t>
      </w:r>
    </w:p>
    <w:p w14:paraId="37639CE5"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Julius </w:t>
      </w:r>
      <w:proofErr w:type="spellStart"/>
      <w:r w:rsidRPr="0016235B">
        <w:rPr>
          <w:rFonts w:ascii="Candara" w:hAnsi="Candara"/>
        </w:rPr>
        <w:t>Amumpe</w:t>
      </w:r>
      <w:proofErr w:type="spellEnd"/>
      <w:r w:rsidRPr="0016235B">
        <w:rPr>
          <w:rFonts w:ascii="Candara" w:hAnsi="Candara"/>
        </w:rPr>
        <w:t xml:space="preserve"> – SCAPP MoH</w:t>
      </w:r>
    </w:p>
    <w:p w14:paraId="0386E0ED"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Benson </w:t>
      </w:r>
      <w:proofErr w:type="spellStart"/>
      <w:r w:rsidRPr="0016235B">
        <w:rPr>
          <w:rFonts w:ascii="Candara" w:hAnsi="Candara"/>
        </w:rPr>
        <w:t>Tumwesigye</w:t>
      </w:r>
      <w:proofErr w:type="spellEnd"/>
      <w:r w:rsidRPr="0016235B">
        <w:rPr>
          <w:rFonts w:ascii="Candara" w:hAnsi="Candara"/>
        </w:rPr>
        <w:t xml:space="preserve"> – SCAPP MoH</w:t>
      </w:r>
    </w:p>
    <w:p w14:paraId="686F8E81"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Alex </w:t>
      </w:r>
      <w:proofErr w:type="spellStart"/>
      <w:r w:rsidRPr="0016235B">
        <w:rPr>
          <w:rFonts w:ascii="Candara" w:hAnsi="Candara"/>
        </w:rPr>
        <w:t>Kakara</w:t>
      </w:r>
      <w:proofErr w:type="spellEnd"/>
      <w:r w:rsidRPr="0016235B">
        <w:rPr>
          <w:rFonts w:ascii="Candara" w:hAnsi="Candara"/>
        </w:rPr>
        <w:t>- MoH – SCAPP MoH</w:t>
      </w:r>
    </w:p>
    <w:p w14:paraId="1ABAE3BA" w14:textId="77777777" w:rsidR="006D5C61" w:rsidRPr="0016235B" w:rsidRDefault="006D5C61" w:rsidP="006D5C61">
      <w:pPr>
        <w:pStyle w:val="ListParagraph"/>
        <w:numPr>
          <w:ilvl w:val="0"/>
          <w:numId w:val="36"/>
        </w:numPr>
        <w:rPr>
          <w:rFonts w:ascii="Candara" w:hAnsi="Candara"/>
        </w:rPr>
      </w:pPr>
      <w:proofErr w:type="spellStart"/>
      <w:proofErr w:type="gramStart"/>
      <w:r w:rsidRPr="0016235B">
        <w:rPr>
          <w:rFonts w:ascii="Candara" w:hAnsi="Candara"/>
        </w:rPr>
        <w:t>Dr.Martin</w:t>
      </w:r>
      <w:proofErr w:type="spellEnd"/>
      <w:proofErr w:type="gramEnd"/>
      <w:r w:rsidRPr="0016235B">
        <w:rPr>
          <w:rFonts w:ascii="Candara" w:hAnsi="Candara"/>
        </w:rPr>
        <w:t xml:space="preserve"> </w:t>
      </w:r>
      <w:proofErr w:type="spellStart"/>
      <w:r w:rsidRPr="0016235B">
        <w:rPr>
          <w:rFonts w:ascii="Candara" w:hAnsi="Candara"/>
        </w:rPr>
        <w:t>Ssendyona</w:t>
      </w:r>
      <w:proofErr w:type="spellEnd"/>
      <w:r w:rsidRPr="0016235B">
        <w:rPr>
          <w:rFonts w:ascii="Candara" w:hAnsi="Candara"/>
        </w:rPr>
        <w:t xml:space="preserve"> – SCAPP MoH</w:t>
      </w:r>
    </w:p>
    <w:p w14:paraId="0EBF0986" w14:textId="77777777" w:rsidR="006D5C61" w:rsidRPr="0016235B" w:rsidRDefault="006D5C61" w:rsidP="006D5C61">
      <w:pPr>
        <w:pStyle w:val="ListParagraph"/>
        <w:numPr>
          <w:ilvl w:val="0"/>
          <w:numId w:val="36"/>
        </w:numPr>
        <w:rPr>
          <w:rFonts w:ascii="Candara" w:hAnsi="Candara"/>
        </w:rPr>
      </w:pPr>
      <w:proofErr w:type="spellStart"/>
      <w:proofErr w:type="gramStart"/>
      <w:r w:rsidRPr="0016235B">
        <w:rPr>
          <w:rFonts w:ascii="Candara" w:hAnsi="Candara"/>
        </w:rPr>
        <w:t>Dr.Betty</w:t>
      </w:r>
      <w:proofErr w:type="spellEnd"/>
      <w:proofErr w:type="gramEnd"/>
      <w:r w:rsidRPr="0016235B">
        <w:rPr>
          <w:rFonts w:ascii="Candara" w:hAnsi="Candara"/>
        </w:rPr>
        <w:t xml:space="preserve"> </w:t>
      </w:r>
      <w:proofErr w:type="spellStart"/>
      <w:r w:rsidRPr="0016235B">
        <w:rPr>
          <w:rFonts w:ascii="Candara" w:hAnsi="Candara"/>
        </w:rPr>
        <w:t>Atai</w:t>
      </w:r>
      <w:proofErr w:type="spellEnd"/>
      <w:r w:rsidRPr="0016235B">
        <w:rPr>
          <w:rFonts w:ascii="Candara" w:hAnsi="Candara"/>
        </w:rPr>
        <w:t xml:space="preserve"> – SCAPP MoH</w:t>
      </w:r>
    </w:p>
    <w:p w14:paraId="51DD20F0"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Elizabeth </w:t>
      </w:r>
      <w:proofErr w:type="spellStart"/>
      <w:r w:rsidRPr="0016235B">
        <w:rPr>
          <w:rFonts w:ascii="Candara" w:hAnsi="Candara"/>
        </w:rPr>
        <w:t>Namagala</w:t>
      </w:r>
      <w:proofErr w:type="spellEnd"/>
      <w:r w:rsidRPr="0016235B">
        <w:rPr>
          <w:rFonts w:ascii="Candara" w:hAnsi="Candara"/>
        </w:rPr>
        <w:t xml:space="preserve"> – SCAPP MoH</w:t>
      </w:r>
    </w:p>
    <w:p w14:paraId="2B456710"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Ms. Agnes </w:t>
      </w:r>
      <w:proofErr w:type="spellStart"/>
      <w:r w:rsidRPr="0016235B">
        <w:rPr>
          <w:rFonts w:ascii="Candara" w:hAnsi="Candara"/>
        </w:rPr>
        <w:t>Nagayi</w:t>
      </w:r>
      <w:proofErr w:type="spellEnd"/>
      <w:r w:rsidRPr="0016235B">
        <w:rPr>
          <w:rFonts w:ascii="Candara" w:hAnsi="Candara"/>
        </w:rPr>
        <w:t xml:space="preserve"> – SCAPP MoH</w:t>
      </w:r>
    </w:p>
    <w:p w14:paraId="208F9C6B"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Ms. Carol </w:t>
      </w:r>
      <w:proofErr w:type="spellStart"/>
      <w:r w:rsidRPr="0016235B">
        <w:rPr>
          <w:rFonts w:ascii="Candara" w:hAnsi="Candara"/>
        </w:rPr>
        <w:t>Kyozira</w:t>
      </w:r>
      <w:proofErr w:type="spellEnd"/>
      <w:r w:rsidRPr="0016235B">
        <w:rPr>
          <w:rFonts w:ascii="Candara" w:hAnsi="Candara"/>
        </w:rPr>
        <w:t xml:space="preserve"> – DHI MoH</w:t>
      </w:r>
    </w:p>
    <w:p w14:paraId="407072E9"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Mr. Jimmy </w:t>
      </w:r>
      <w:proofErr w:type="spellStart"/>
      <w:r w:rsidRPr="0016235B">
        <w:rPr>
          <w:rFonts w:ascii="Candara" w:hAnsi="Candara"/>
        </w:rPr>
        <w:t>Ogwal</w:t>
      </w:r>
      <w:proofErr w:type="spellEnd"/>
      <w:r w:rsidRPr="0016235B">
        <w:rPr>
          <w:rFonts w:ascii="Candara" w:hAnsi="Candara"/>
        </w:rPr>
        <w:t xml:space="preserve"> _ DHI MoH</w:t>
      </w:r>
    </w:p>
    <w:p w14:paraId="34F53DC5"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Ms. Ruth </w:t>
      </w:r>
      <w:proofErr w:type="spellStart"/>
      <w:r w:rsidRPr="0016235B">
        <w:rPr>
          <w:rFonts w:ascii="Candara" w:hAnsi="Candara"/>
        </w:rPr>
        <w:t>Ategeka</w:t>
      </w:r>
      <w:proofErr w:type="spellEnd"/>
      <w:r w:rsidRPr="0016235B">
        <w:rPr>
          <w:rFonts w:ascii="Candara" w:hAnsi="Candara"/>
        </w:rPr>
        <w:t xml:space="preserve"> – DHI MoH</w:t>
      </w:r>
    </w:p>
    <w:p w14:paraId="3F4F8256" w14:textId="77777777" w:rsidR="006D5C61" w:rsidRPr="0016235B" w:rsidRDefault="006D5C61" w:rsidP="006D5C61">
      <w:pPr>
        <w:pStyle w:val="ListParagraph"/>
        <w:numPr>
          <w:ilvl w:val="0"/>
          <w:numId w:val="36"/>
        </w:numPr>
        <w:rPr>
          <w:rFonts w:ascii="Candara" w:hAnsi="Candara"/>
        </w:rPr>
      </w:pPr>
      <w:r w:rsidRPr="0016235B">
        <w:rPr>
          <w:rFonts w:ascii="Candara" w:hAnsi="Candara"/>
        </w:rPr>
        <w:t>Mr. Ronald Ahura – DHI MOH</w:t>
      </w:r>
    </w:p>
    <w:p w14:paraId="6847F9ED"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Ms. Phoebe </w:t>
      </w:r>
      <w:proofErr w:type="spellStart"/>
      <w:r w:rsidRPr="0016235B">
        <w:rPr>
          <w:rFonts w:ascii="Candara" w:hAnsi="Candara"/>
        </w:rPr>
        <w:t>Koli</w:t>
      </w:r>
      <w:proofErr w:type="spellEnd"/>
      <w:r w:rsidRPr="0016235B">
        <w:rPr>
          <w:rFonts w:ascii="Candara" w:hAnsi="Candara"/>
        </w:rPr>
        <w:t xml:space="preserve"> – DHI MoH</w:t>
      </w:r>
    </w:p>
    <w:p w14:paraId="2C4BED63"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Mr. Daniel Jacob </w:t>
      </w:r>
      <w:proofErr w:type="spellStart"/>
      <w:r w:rsidRPr="0016235B">
        <w:rPr>
          <w:rFonts w:ascii="Candara" w:hAnsi="Candara"/>
        </w:rPr>
        <w:t>Emong</w:t>
      </w:r>
      <w:proofErr w:type="spellEnd"/>
      <w:r w:rsidRPr="0016235B">
        <w:rPr>
          <w:rFonts w:ascii="Candara" w:hAnsi="Candara"/>
        </w:rPr>
        <w:t xml:space="preserve"> – ESD MoH</w:t>
      </w:r>
    </w:p>
    <w:p w14:paraId="77DEC534"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Mr. </w:t>
      </w:r>
      <w:proofErr w:type="spellStart"/>
      <w:r w:rsidRPr="0016235B">
        <w:rPr>
          <w:rFonts w:ascii="Candara" w:hAnsi="Candara"/>
        </w:rPr>
        <w:t>Ahimbisibwe</w:t>
      </w:r>
      <w:proofErr w:type="spellEnd"/>
      <w:r w:rsidRPr="0016235B">
        <w:rPr>
          <w:rFonts w:ascii="Candara" w:hAnsi="Candara"/>
        </w:rPr>
        <w:t xml:space="preserve"> Andrew – AHPC MoH</w:t>
      </w:r>
    </w:p>
    <w:p w14:paraId="38405EB7"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Hudson </w:t>
      </w:r>
      <w:proofErr w:type="spellStart"/>
      <w:r w:rsidRPr="0016235B">
        <w:rPr>
          <w:rFonts w:ascii="Candara" w:hAnsi="Candara"/>
        </w:rPr>
        <w:t>Balidawa</w:t>
      </w:r>
      <w:proofErr w:type="spellEnd"/>
      <w:r w:rsidRPr="0016235B">
        <w:rPr>
          <w:rFonts w:ascii="Candara" w:hAnsi="Candara"/>
        </w:rPr>
        <w:t xml:space="preserve"> – ACP MoH</w:t>
      </w:r>
    </w:p>
    <w:p w14:paraId="187E7204" w14:textId="77777777" w:rsidR="006D5C61" w:rsidRPr="0016235B" w:rsidRDefault="006D5C61" w:rsidP="006D5C61">
      <w:pPr>
        <w:pStyle w:val="ListParagraph"/>
        <w:numPr>
          <w:ilvl w:val="0"/>
          <w:numId w:val="36"/>
        </w:numPr>
        <w:rPr>
          <w:rFonts w:ascii="Candara" w:hAnsi="Candara"/>
        </w:rPr>
      </w:pPr>
      <w:r w:rsidRPr="0016235B">
        <w:rPr>
          <w:rFonts w:ascii="Candara" w:hAnsi="Candara"/>
        </w:rPr>
        <w:t>Dr. Quinto Ebony – NTLP MoH</w:t>
      </w:r>
    </w:p>
    <w:p w14:paraId="45E8CDA2"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Mr. </w:t>
      </w:r>
      <w:proofErr w:type="spellStart"/>
      <w:r w:rsidRPr="0016235B">
        <w:rPr>
          <w:rFonts w:ascii="Candara" w:hAnsi="Candara"/>
        </w:rPr>
        <w:t>Nasan</w:t>
      </w:r>
      <w:proofErr w:type="spellEnd"/>
      <w:r w:rsidRPr="0016235B">
        <w:rPr>
          <w:rFonts w:ascii="Candara" w:hAnsi="Candara"/>
        </w:rPr>
        <w:t xml:space="preserve"> </w:t>
      </w:r>
      <w:proofErr w:type="spellStart"/>
      <w:r w:rsidRPr="0016235B">
        <w:rPr>
          <w:rFonts w:ascii="Candara" w:hAnsi="Candara"/>
        </w:rPr>
        <w:t>Natseri</w:t>
      </w:r>
      <w:proofErr w:type="spellEnd"/>
      <w:r w:rsidRPr="0016235B">
        <w:rPr>
          <w:rFonts w:ascii="Candara" w:hAnsi="Candara"/>
        </w:rPr>
        <w:t xml:space="preserve"> – WHO </w:t>
      </w:r>
    </w:p>
    <w:p w14:paraId="0F2592F3"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Dr. Benson </w:t>
      </w:r>
      <w:proofErr w:type="spellStart"/>
      <w:r w:rsidRPr="0016235B">
        <w:rPr>
          <w:rFonts w:ascii="Candara" w:hAnsi="Candara"/>
        </w:rPr>
        <w:t>Droti</w:t>
      </w:r>
      <w:proofErr w:type="spellEnd"/>
      <w:r w:rsidRPr="0016235B">
        <w:rPr>
          <w:rFonts w:ascii="Candara" w:hAnsi="Candara"/>
        </w:rPr>
        <w:t xml:space="preserve"> – WHO AFRO</w:t>
      </w:r>
    </w:p>
    <w:p w14:paraId="2F83389D" w14:textId="77777777" w:rsidR="006D5C61" w:rsidRPr="0016235B" w:rsidRDefault="006D5C61" w:rsidP="006D5C61">
      <w:pPr>
        <w:pStyle w:val="ListParagraph"/>
        <w:numPr>
          <w:ilvl w:val="0"/>
          <w:numId w:val="36"/>
        </w:numPr>
        <w:rPr>
          <w:rFonts w:ascii="Candara" w:hAnsi="Candara"/>
        </w:rPr>
      </w:pPr>
      <w:r w:rsidRPr="0016235B">
        <w:rPr>
          <w:rFonts w:ascii="Candara" w:hAnsi="Candara"/>
        </w:rPr>
        <w:t xml:space="preserve">Mr. </w:t>
      </w:r>
      <w:proofErr w:type="spellStart"/>
      <w:r w:rsidRPr="0016235B">
        <w:rPr>
          <w:rFonts w:ascii="Candara" w:hAnsi="Candara"/>
        </w:rPr>
        <w:t>Mbaka</w:t>
      </w:r>
      <w:proofErr w:type="spellEnd"/>
      <w:r w:rsidRPr="0016235B">
        <w:rPr>
          <w:rFonts w:ascii="Candara" w:hAnsi="Candara"/>
        </w:rPr>
        <w:t xml:space="preserve"> Paul – WHO </w:t>
      </w:r>
    </w:p>
    <w:p w14:paraId="581FABB0" w14:textId="77777777" w:rsidR="006D5C61" w:rsidRPr="0016235B" w:rsidRDefault="006D5C61" w:rsidP="006D5C61">
      <w:pPr>
        <w:rPr>
          <w:rFonts w:ascii="Candara" w:hAnsi="Candara"/>
        </w:rPr>
      </w:pPr>
    </w:p>
    <w:p w14:paraId="7B40DACE" w14:textId="77777777" w:rsidR="006D5C61" w:rsidRPr="0016235B" w:rsidRDefault="006D5C61" w:rsidP="006D5C61">
      <w:pPr>
        <w:rPr>
          <w:rFonts w:ascii="Candara" w:hAnsi="Candara"/>
        </w:rPr>
      </w:pPr>
    </w:p>
    <w:p w14:paraId="0216FF36" w14:textId="77777777" w:rsidR="006D5C61" w:rsidRPr="0016235B" w:rsidRDefault="006D5C61" w:rsidP="006D5C61">
      <w:pPr>
        <w:rPr>
          <w:rFonts w:ascii="Candara" w:hAnsi="Candara"/>
        </w:rPr>
      </w:pPr>
    </w:p>
    <w:p w14:paraId="474968B3" w14:textId="77777777" w:rsidR="006D5C61" w:rsidRPr="0016235B" w:rsidRDefault="006D5C61" w:rsidP="006D5C61">
      <w:pPr>
        <w:rPr>
          <w:rFonts w:ascii="Candara" w:hAnsi="Candara"/>
        </w:rPr>
      </w:pPr>
    </w:p>
    <w:p w14:paraId="67A3F7FA" w14:textId="77777777" w:rsidR="00803EE2" w:rsidRPr="0016235B" w:rsidRDefault="00803EE2" w:rsidP="00B15C32">
      <w:pPr>
        <w:pStyle w:val="Heading1"/>
        <w:rPr>
          <w:rFonts w:ascii="Candara" w:hAnsi="Candara"/>
          <w:b/>
          <w:sz w:val="28"/>
          <w:szCs w:val="28"/>
        </w:rPr>
      </w:pPr>
      <w:bookmarkStart w:id="3" w:name="_Toc11494016"/>
      <w:r w:rsidRPr="0016235B">
        <w:rPr>
          <w:rFonts w:ascii="Candara" w:hAnsi="Candara"/>
          <w:b/>
          <w:sz w:val="28"/>
          <w:szCs w:val="28"/>
        </w:rPr>
        <w:lastRenderedPageBreak/>
        <w:t>Table of Contents</w:t>
      </w:r>
      <w:bookmarkEnd w:id="3"/>
    </w:p>
    <w:sdt>
      <w:sdtPr>
        <w:rPr>
          <w:rFonts w:ascii="Candara" w:eastAsiaTheme="minorHAnsi" w:hAnsi="Candara" w:cstheme="minorBidi"/>
          <w:color w:val="auto"/>
          <w:sz w:val="22"/>
          <w:szCs w:val="22"/>
        </w:rPr>
        <w:id w:val="-1839072985"/>
        <w:docPartObj>
          <w:docPartGallery w:val="Table of Contents"/>
          <w:docPartUnique/>
        </w:docPartObj>
      </w:sdtPr>
      <w:sdtEndPr>
        <w:rPr>
          <w:b/>
          <w:bCs/>
          <w:noProof/>
        </w:rPr>
      </w:sdtEndPr>
      <w:sdtContent>
        <w:p w14:paraId="31DEB0E1" w14:textId="2B6B29D8" w:rsidR="00D2350C" w:rsidRPr="0016235B" w:rsidRDefault="00D2350C">
          <w:pPr>
            <w:pStyle w:val="TOCHeading"/>
            <w:rPr>
              <w:rFonts w:ascii="Candara" w:hAnsi="Candara"/>
            </w:rPr>
          </w:pPr>
          <w:r w:rsidRPr="0016235B">
            <w:rPr>
              <w:rFonts w:ascii="Candara" w:hAnsi="Candara"/>
            </w:rPr>
            <w:t>Contents</w:t>
          </w:r>
        </w:p>
        <w:p w14:paraId="58D1A59E" w14:textId="6D2B03A9" w:rsidR="00B8607B" w:rsidRDefault="00D2350C">
          <w:pPr>
            <w:pStyle w:val="TOC1"/>
            <w:tabs>
              <w:tab w:val="right" w:leader="dot" w:pos="9016"/>
            </w:tabs>
            <w:rPr>
              <w:rFonts w:eastAsiaTheme="minorEastAsia"/>
              <w:noProof/>
            </w:rPr>
          </w:pPr>
          <w:r w:rsidRPr="0016235B">
            <w:rPr>
              <w:rFonts w:ascii="Candara" w:hAnsi="Candara"/>
              <w:b/>
              <w:bCs/>
              <w:noProof/>
            </w:rPr>
            <w:fldChar w:fldCharType="begin"/>
          </w:r>
          <w:r w:rsidRPr="0016235B">
            <w:rPr>
              <w:rFonts w:ascii="Candara" w:hAnsi="Candara"/>
              <w:b/>
              <w:bCs/>
              <w:noProof/>
            </w:rPr>
            <w:instrText xml:space="preserve"> TOC \o "1-3" \h \z \u </w:instrText>
          </w:r>
          <w:r w:rsidRPr="0016235B">
            <w:rPr>
              <w:rFonts w:ascii="Candara" w:hAnsi="Candara"/>
              <w:b/>
              <w:bCs/>
              <w:noProof/>
            </w:rPr>
            <w:fldChar w:fldCharType="separate"/>
          </w:r>
          <w:hyperlink w:anchor="_Toc11494014" w:history="1">
            <w:r w:rsidR="00B8607B" w:rsidRPr="00CD337F">
              <w:rPr>
                <w:rStyle w:val="Hyperlink"/>
                <w:rFonts w:ascii="Candara" w:hAnsi="Candara"/>
                <w:b/>
                <w:noProof/>
              </w:rPr>
              <w:t>Preface</w:t>
            </w:r>
            <w:r w:rsidR="00B8607B">
              <w:rPr>
                <w:noProof/>
                <w:webHidden/>
              </w:rPr>
              <w:tab/>
            </w:r>
            <w:r w:rsidR="00B8607B">
              <w:rPr>
                <w:noProof/>
                <w:webHidden/>
              </w:rPr>
              <w:fldChar w:fldCharType="begin"/>
            </w:r>
            <w:r w:rsidR="00B8607B">
              <w:rPr>
                <w:noProof/>
                <w:webHidden/>
              </w:rPr>
              <w:instrText xml:space="preserve"> PAGEREF _Toc11494014 \h </w:instrText>
            </w:r>
            <w:r w:rsidR="00B8607B">
              <w:rPr>
                <w:noProof/>
                <w:webHidden/>
              </w:rPr>
            </w:r>
            <w:r w:rsidR="00B8607B">
              <w:rPr>
                <w:noProof/>
                <w:webHidden/>
              </w:rPr>
              <w:fldChar w:fldCharType="separate"/>
            </w:r>
            <w:r w:rsidR="001A57C0">
              <w:rPr>
                <w:noProof/>
                <w:webHidden/>
              </w:rPr>
              <w:t>ii</w:t>
            </w:r>
            <w:r w:rsidR="00B8607B">
              <w:rPr>
                <w:noProof/>
                <w:webHidden/>
              </w:rPr>
              <w:fldChar w:fldCharType="end"/>
            </w:r>
          </w:hyperlink>
        </w:p>
        <w:p w14:paraId="7DCB94DB" w14:textId="68D55E87" w:rsidR="00B8607B" w:rsidRDefault="00225302">
          <w:pPr>
            <w:pStyle w:val="TOC1"/>
            <w:tabs>
              <w:tab w:val="right" w:leader="dot" w:pos="9016"/>
            </w:tabs>
            <w:rPr>
              <w:rFonts w:eastAsiaTheme="minorEastAsia"/>
              <w:noProof/>
            </w:rPr>
          </w:pPr>
          <w:hyperlink w:anchor="_Toc11494015" w:history="1">
            <w:r w:rsidR="00B8607B" w:rsidRPr="00CD337F">
              <w:rPr>
                <w:rStyle w:val="Hyperlink"/>
                <w:rFonts w:ascii="Candara" w:hAnsi="Candara"/>
                <w:b/>
                <w:noProof/>
              </w:rPr>
              <w:t>Acknowledgement</w:t>
            </w:r>
            <w:r w:rsidR="00B8607B">
              <w:rPr>
                <w:noProof/>
                <w:webHidden/>
              </w:rPr>
              <w:tab/>
            </w:r>
            <w:r w:rsidR="00B8607B">
              <w:rPr>
                <w:noProof/>
                <w:webHidden/>
              </w:rPr>
              <w:fldChar w:fldCharType="begin"/>
            </w:r>
            <w:r w:rsidR="00B8607B">
              <w:rPr>
                <w:noProof/>
                <w:webHidden/>
              </w:rPr>
              <w:instrText xml:space="preserve"> PAGEREF _Toc11494015 \h </w:instrText>
            </w:r>
            <w:r w:rsidR="00B8607B">
              <w:rPr>
                <w:noProof/>
                <w:webHidden/>
              </w:rPr>
            </w:r>
            <w:r w:rsidR="00B8607B">
              <w:rPr>
                <w:noProof/>
                <w:webHidden/>
              </w:rPr>
              <w:fldChar w:fldCharType="separate"/>
            </w:r>
            <w:r w:rsidR="001A57C0">
              <w:rPr>
                <w:noProof/>
                <w:webHidden/>
              </w:rPr>
              <w:t>iii</w:t>
            </w:r>
            <w:r w:rsidR="00B8607B">
              <w:rPr>
                <w:noProof/>
                <w:webHidden/>
              </w:rPr>
              <w:fldChar w:fldCharType="end"/>
            </w:r>
          </w:hyperlink>
        </w:p>
        <w:p w14:paraId="061A9C6F" w14:textId="5BFFE942" w:rsidR="00B8607B" w:rsidRDefault="00225302">
          <w:pPr>
            <w:pStyle w:val="TOC1"/>
            <w:tabs>
              <w:tab w:val="right" w:leader="dot" w:pos="9016"/>
            </w:tabs>
            <w:rPr>
              <w:rFonts w:eastAsiaTheme="minorEastAsia"/>
              <w:noProof/>
            </w:rPr>
          </w:pPr>
          <w:hyperlink w:anchor="_Toc11494016" w:history="1">
            <w:r w:rsidR="00B8607B" w:rsidRPr="00CD337F">
              <w:rPr>
                <w:rStyle w:val="Hyperlink"/>
                <w:rFonts w:ascii="Candara" w:hAnsi="Candara"/>
                <w:b/>
                <w:noProof/>
              </w:rPr>
              <w:t>Table of Contents</w:t>
            </w:r>
            <w:r w:rsidR="00B8607B">
              <w:rPr>
                <w:noProof/>
                <w:webHidden/>
              </w:rPr>
              <w:tab/>
            </w:r>
            <w:r w:rsidR="00B8607B">
              <w:rPr>
                <w:noProof/>
                <w:webHidden/>
              </w:rPr>
              <w:fldChar w:fldCharType="begin"/>
            </w:r>
            <w:r w:rsidR="00B8607B">
              <w:rPr>
                <w:noProof/>
                <w:webHidden/>
              </w:rPr>
              <w:instrText xml:space="preserve"> PAGEREF _Toc11494016 \h </w:instrText>
            </w:r>
            <w:r w:rsidR="00B8607B">
              <w:rPr>
                <w:noProof/>
                <w:webHidden/>
              </w:rPr>
            </w:r>
            <w:r w:rsidR="00B8607B">
              <w:rPr>
                <w:noProof/>
                <w:webHidden/>
              </w:rPr>
              <w:fldChar w:fldCharType="separate"/>
            </w:r>
            <w:r w:rsidR="001A57C0">
              <w:rPr>
                <w:noProof/>
                <w:webHidden/>
              </w:rPr>
              <w:t>iv</w:t>
            </w:r>
            <w:r w:rsidR="00B8607B">
              <w:rPr>
                <w:noProof/>
                <w:webHidden/>
              </w:rPr>
              <w:fldChar w:fldCharType="end"/>
            </w:r>
          </w:hyperlink>
        </w:p>
        <w:p w14:paraId="45F00000" w14:textId="54B1DA9F" w:rsidR="00B8607B" w:rsidRDefault="00225302">
          <w:pPr>
            <w:pStyle w:val="TOC1"/>
            <w:tabs>
              <w:tab w:val="right" w:leader="dot" w:pos="9016"/>
            </w:tabs>
            <w:rPr>
              <w:rFonts w:eastAsiaTheme="minorEastAsia"/>
              <w:noProof/>
            </w:rPr>
          </w:pPr>
          <w:hyperlink w:anchor="_Toc11494017" w:history="1">
            <w:r w:rsidR="00B8607B" w:rsidRPr="00CD337F">
              <w:rPr>
                <w:rStyle w:val="Hyperlink"/>
                <w:rFonts w:ascii="Candara" w:hAnsi="Candara"/>
                <w:b/>
                <w:noProof/>
              </w:rPr>
              <w:t>Acronyms</w:t>
            </w:r>
            <w:r w:rsidR="00B8607B">
              <w:rPr>
                <w:noProof/>
                <w:webHidden/>
              </w:rPr>
              <w:tab/>
            </w:r>
            <w:r w:rsidR="00B8607B">
              <w:rPr>
                <w:noProof/>
                <w:webHidden/>
              </w:rPr>
              <w:fldChar w:fldCharType="begin"/>
            </w:r>
            <w:r w:rsidR="00B8607B">
              <w:rPr>
                <w:noProof/>
                <w:webHidden/>
              </w:rPr>
              <w:instrText xml:space="preserve"> PAGEREF _Toc11494017 \h </w:instrText>
            </w:r>
            <w:r w:rsidR="00B8607B">
              <w:rPr>
                <w:noProof/>
                <w:webHidden/>
              </w:rPr>
            </w:r>
            <w:r w:rsidR="00B8607B">
              <w:rPr>
                <w:noProof/>
                <w:webHidden/>
              </w:rPr>
              <w:fldChar w:fldCharType="separate"/>
            </w:r>
            <w:r w:rsidR="001A57C0">
              <w:rPr>
                <w:noProof/>
                <w:webHidden/>
              </w:rPr>
              <w:t>vi</w:t>
            </w:r>
            <w:r w:rsidR="00B8607B">
              <w:rPr>
                <w:noProof/>
                <w:webHidden/>
              </w:rPr>
              <w:fldChar w:fldCharType="end"/>
            </w:r>
          </w:hyperlink>
        </w:p>
        <w:p w14:paraId="233CEA40" w14:textId="5FB4A658" w:rsidR="00B8607B" w:rsidRDefault="00225302">
          <w:pPr>
            <w:pStyle w:val="TOC1"/>
            <w:tabs>
              <w:tab w:val="right" w:leader="dot" w:pos="9016"/>
            </w:tabs>
            <w:rPr>
              <w:rFonts w:eastAsiaTheme="minorEastAsia"/>
              <w:noProof/>
            </w:rPr>
          </w:pPr>
          <w:hyperlink w:anchor="_Toc11494018" w:history="1">
            <w:r w:rsidR="00B8607B" w:rsidRPr="00CD337F">
              <w:rPr>
                <w:rStyle w:val="Hyperlink"/>
                <w:rFonts w:ascii="Candara" w:hAnsi="Candara"/>
                <w:b/>
                <w:noProof/>
              </w:rPr>
              <w:t>List of Tables and Figures</w:t>
            </w:r>
            <w:r w:rsidR="00B8607B">
              <w:rPr>
                <w:noProof/>
                <w:webHidden/>
              </w:rPr>
              <w:tab/>
            </w:r>
            <w:r w:rsidR="00B8607B">
              <w:rPr>
                <w:noProof/>
                <w:webHidden/>
              </w:rPr>
              <w:fldChar w:fldCharType="begin"/>
            </w:r>
            <w:r w:rsidR="00B8607B">
              <w:rPr>
                <w:noProof/>
                <w:webHidden/>
              </w:rPr>
              <w:instrText xml:space="preserve"> PAGEREF _Toc11494018 \h </w:instrText>
            </w:r>
            <w:r w:rsidR="00B8607B">
              <w:rPr>
                <w:noProof/>
                <w:webHidden/>
              </w:rPr>
            </w:r>
            <w:r w:rsidR="00B8607B">
              <w:rPr>
                <w:noProof/>
                <w:webHidden/>
              </w:rPr>
              <w:fldChar w:fldCharType="separate"/>
            </w:r>
            <w:r w:rsidR="001A57C0">
              <w:rPr>
                <w:noProof/>
                <w:webHidden/>
              </w:rPr>
              <w:t>vii</w:t>
            </w:r>
            <w:r w:rsidR="00B8607B">
              <w:rPr>
                <w:noProof/>
                <w:webHidden/>
              </w:rPr>
              <w:fldChar w:fldCharType="end"/>
            </w:r>
          </w:hyperlink>
        </w:p>
        <w:p w14:paraId="72F36274" w14:textId="315AEF58" w:rsidR="00B8607B" w:rsidRDefault="00225302">
          <w:pPr>
            <w:pStyle w:val="TOC1"/>
            <w:tabs>
              <w:tab w:val="right" w:leader="dot" w:pos="9016"/>
            </w:tabs>
            <w:rPr>
              <w:rFonts w:eastAsiaTheme="minorEastAsia"/>
              <w:noProof/>
            </w:rPr>
          </w:pPr>
          <w:hyperlink w:anchor="_Toc11494019" w:history="1">
            <w:r w:rsidR="00B8607B" w:rsidRPr="00CD337F">
              <w:rPr>
                <w:rStyle w:val="Hyperlink"/>
                <w:rFonts w:ascii="Candara" w:hAnsi="Candara"/>
                <w:b/>
                <w:noProof/>
              </w:rPr>
              <w:t>Executive Summary</w:t>
            </w:r>
            <w:r w:rsidR="00B8607B">
              <w:rPr>
                <w:noProof/>
                <w:webHidden/>
              </w:rPr>
              <w:tab/>
            </w:r>
            <w:r w:rsidR="00B8607B">
              <w:rPr>
                <w:noProof/>
                <w:webHidden/>
              </w:rPr>
              <w:fldChar w:fldCharType="begin"/>
            </w:r>
            <w:r w:rsidR="00B8607B">
              <w:rPr>
                <w:noProof/>
                <w:webHidden/>
              </w:rPr>
              <w:instrText xml:space="preserve"> PAGEREF _Toc11494019 \h </w:instrText>
            </w:r>
            <w:r w:rsidR="00B8607B">
              <w:rPr>
                <w:noProof/>
                <w:webHidden/>
              </w:rPr>
            </w:r>
            <w:r w:rsidR="00B8607B">
              <w:rPr>
                <w:noProof/>
                <w:webHidden/>
              </w:rPr>
              <w:fldChar w:fldCharType="separate"/>
            </w:r>
            <w:r w:rsidR="001A57C0">
              <w:rPr>
                <w:noProof/>
                <w:webHidden/>
              </w:rPr>
              <w:t>viii</w:t>
            </w:r>
            <w:r w:rsidR="00B8607B">
              <w:rPr>
                <w:noProof/>
                <w:webHidden/>
              </w:rPr>
              <w:fldChar w:fldCharType="end"/>
            </w:r>
          </w:hyperlink>
        </w:p>
        <w:p w14:paraId="7E14E7BC" w14:textId="00D350C9" w:rsidR="00B8607B" w:rsidRDefault="00225302">
          <w:pPr>
            <w:pStyle w:val="TOC1"/>
            <w:tabs>
              <w:tab w:val="left" w:pos="440"/>
              <w:tab w:val="right" w:leader="dot" w:pos="9016"/>
            </w:tabs>
            <w:rPr>
              <w:rFonts w:eastAsiaTheme="minorEastAsia"/>
              <w:noProof/>
            </w:rPr>
          </w:pPr>
          <w:hyperlink w:anchor="_Toc11494020" w:history="1">
            <w:r w:rsidR="00B8607B" w:rsidRPr="00CD337F">
              <w:rPr>
                <w:rStyle w:val="Hyperlink"/>
                <w:rFonts w:ascii="Candara" w:hAnsi="Candara"/>
                <w:b/>
                <w:noProof/>
              </w:rPr>
              <w:t>1.</w:t>
            </w:r>
            <w:r w:rsidR="00B8607B">
              <w:rPr>
                <w:rFonts w:eastAsiaTheme="minorEastAsia"/>
                <w:noProof/>
              </w:rPr>
              <w:tab/>
            </w:r>
            <w:r w:rsidR="00B8607B" w:rsidRPr="00CD337F">
              <w:rPr>
                <w:rStyle w:val="Hyperlink"/>
                <w:rFonts w:ascii="Candara" w:hAnsi="Candara"/>
                <w:b/>
                <w:noProof/>
              </w:rPr>
              <w:t>INTRODUCTION</w:t>
            </w:r>
            <w:r w:rsidR="00B8607B">
              <w:rPr>
                <w:noProof/>
                <w:webHidden/>
              </w:rPr>
              <w:tab/>
            </w:r>
            <w:r w:rsidR="00B8607B">
              <w:rPr>
                <w:noProof/>
                <w:webHidden/>
              </w:rPr>
              <w:fldChar w:fldCharType="begin"/>
            </w:r>
            <w:r w:rsidR="00B8607B">
              <w:rPr>
                <w:noProof/>
                <w:webHidden/>
              </w:rPr>
              <w:instrText xml:space="preserve"> PAGEREF _Toc11494020 \h </w:instrText>
            </w:r>
            <w:r w:rsidR="00B8607B">
              <w:rPr>
                <w:noProof/>
                <w:webHidden/>
              </w:rPr>
            </w:r>
            <w:r w:rsidR="00B8607B">
              <w:rPr>
                <w:noProof/>
                <w:webHidden/>
              </w:rPr>
              <w:fldChar w:fldCharType="separate"/>
            </w:r>
            <w:r w:rsidR="001A57C0">
              <w:rPr>
                <w:noProof/>
                <w:webHidden/>
              </w:rPr>
              <w:t>1</w:t>
            </w:r>
            <w:r w:rsidR="00B8607B">
              <w:rPr>
                <w:noProof/>
                <w:webHidden/>
              </w:rPr>
              <w:fldChar w:fldCharType="end"/>
            </w:r>
          </w:hyperlink>
        </w:p>
        <w:p w14:paraId="030B1136" w14:textId="2D890BAA" w:rsidR="00B8607B" w:rsidRDefault="00225302">
          <w:pPr>
            <w:pStyle w:val="TOC2"/>
            <w:tabs>
              <w:tab w:val="left" w:pos="880"/>
              <w:tab w:val="right" w:leader="dot" w:pos="9016"/>
            </w:tabs>
            <w:rPr>
              <w:rFonts w:eastAsiaTheme="minorEastAsia"/>
              <w:noProof/>
            </w:rPr>
          </w:pPr>
          <w:hyperlink w:anchor="_Toc11494021" w:history="1">
            <w:r w:rsidR="00B8607B" w:rsidRPr="00CD337F">
              <w:rPr>
                <w:rStyle w:val="Hyperlink"/>
                <w:rFonts w:ascii="Candara" w:hAnsi="Candara"/>
                <w:b/>
                <w:noProof/>
              </w:rPr>
              <w:t>1.1.</w:t>
            </w:r>
            <w:r w:rsidR="00B8607B">
              <w:rPr>
                <w:rFonts w:eastAsiaTheme="minorEastAsia"/>
                <w:noProof/>
              </w:rPr>
              <w:tab/>
            </w:r>
            <w:r w:rsidR="00B8607B" w:rsidRPr="00CD337F">
              <w:rPr>
                <w:rStyle w:val="Hyperlink"/>
                <w:rFonts w:ascii="Candara" w:hAnsi="Candara"/>
                <w:b/>
                <w:noProof/>
              </w:rPr>
              <w:t>Background</w:t>
            </w:r>
            <w:r w:rsidR="00B8607B">
              <w:rPr>
                <w:noProof/>
                <w:webHidden/>
              </w:rPr>
              <w:tab/>
            </w:r>
            <w:r w:rsidR="00B8607B">
              <w:rPr>
                <w:noProof/>
                <w:webHidden/>
              </w:rPr>
              <w:fldChar w:fldCharType="begin"/>
            </w:r>
            <w:r w:rsidR="00B8607B">
              <w:rPr>
                <w:noProof/>
                <w:webHidden/>
              </w:rPr>
              <w:instrText xml:space="preserve"> PAGEREF _Toc11494021 \h </w:instrText>
            </w:r>
            <w:r w:rsidR="00B8607B">
              <w:rPr>
                <w:noProof/>
                <w:webHidden/>
              </w:rPr>
            </w:r>
            <w:r w:rsidR="00B8607B">
              <w:rPr>
                <w:noProof/>
                <w:webHidden/>
              </w:rPr>
              <w:fldChar w:fldCharType="separate"/>
            </w:r>
            <w:r w:rsidR="001A57C0">
              <w:rPr>
                <w:noProof/>
                <w:webHidden/>
              </w:rPr>
              <w:t>1</w:t>
            </w:r>
            <w:r w:rsidR="00B8607B">
              <w:rPr>
                <w:noProof/>
                <w:webHidden/>
              </w:rPr>
              <w:fldChar w:fldCharType="end"/>
            </w:r>
          </w:hyperlink>
        </w:p>
        <w:p w14:paraId="5A9FE61C" w14:textId="48576911" w:rsidR="00B8607B" w:rsidRDefault="00225302">
          <w:pPr>
            <w:pStyle w:val="TOC2"/>
            <w:tabs>
              <w:tab w:val="left" w:pos="880"/>
              <w:tab w:val="right" w:leader="dot" w:pos="9016"/>
            </w:tabs>
            <w:rPr>
              <w:rFonts w:eastAsiaTheme="minorEastAsia"/>
              <w:noProof/>
            </w:rPr>
          </w:pPr>
          <w:hyperlink w:anchor="_Toc11494022" w:history="1">
            <w:r w:rsidR="00B8607B" w:rsidRPr="00CD337F">
              <w:rPr>
                <w:rStyle w:val="Hyperlink"/>
                <w:rFonts w:ascii="Candara" w:hAnsi="Candara"/>
                <w:b/>
                <w:noProof/>
              </w:rPr>
              <w:t>1.2.</w:t>
            </w:r>
            <w:r w:rsidR="00B8607B">
              <w:rPr>
                <w:rFonts w:eastAsiaTheme="minorEastAsia"/>
                <w:noProof/>
              </w:rPr>
              <w:tab/>
            </w:r>
            <w:r w:rsidR="00B8607B" w:rsidRPr="00CD337F">
              <w:rPr>
                <w:rStyle w:val="Hyperlink"/>
                <w:rFonts w:ascii="Candara" w:hAnsi="Candara"/>
                <w:b/>
                <w:noProof/>
              </w:rPr>
              <w:t>Objectives of SARA 2018</w:t>
            </w:r>
            <w:r w:rsidR="00B8607B">
              <w:rPr>
                <w:noProof/>
                <w:webHidden/>
              </w:rPr>
              <w:tab/>
            </w:r>
            <w:r w:rsidR="00B8607B">
              <w:rPr>
                <w:noProof/>
                <w:webHidden/>
              </w:rPr>
              <w:fldChar w:fldCharType="begin"/>
            </w:r>
            <w:r w:rsidR="00B8607B">
              <w:rPr>
                <w:noProof/>
                <w:webHidden/>
              </w:rPr>
              <w:instrText xml:space="preserve"> PAGEREF _Toc11494022 \h </w:instrText>
            </w:r>
            <w:r w:rsidR="00B8607B">
              <w:rPr>
                <w:noProof/>
                <w:webHidden/>
              </w:rPr>
            </w:r>
            <w:r w:rsidR="00B8607B">
              <w:rPr>
                <w:noProof/>
                <w:webHidden/>
              </w:rPr>
              <w:fldChar w:fldCharType="separate"/>
            </w:r>
            <w:r w:rsidR="001A57C0">
              <w:rPr>
                <w:noProof/>
                <w:webHidden/>
              </w:rPr>
              <w:t>2</w:t>
            </w:r>
            <w:r w:rsidR="00B8607B">
              <w:rPr>
                <w:noProof/>
                <w:webHidden/>
              </w:rPr>
              <w:fldChar w:fldCharType="end"/>
            </w:r>
          </w:hyperlink>
        </w:p>
        <w:p w14:paraId="434BA16E" w14:textId="67514EB5" w:rsidR="00B8607B" w:rsidRDefault="00225302">
          <w:pPr>
            <w:pStyle w:val="TOC2"/>
            <w:tabs>
              <w:tab w:val="left" w:pos="880"/>
              <w:tab w:val="right" w:leader="dot" w:pos="9016"/>
            </w:tabs>
            <w:rPr>
              <w:rFonts w:eastAsiaTheme="minorEastAsia"/>
              <w:noProof/>
            </w:rPr>
          </w:pPr>
          <w:hyperlink w:anchor="_Toc11494023" w:history="1">
            <w:r w:rsidR="00B8607B" w:rsidRPr="00CD337F">
              <w:rPr>
                <w:rStyle w:val="Hyperlink"/>
                <w:rFonts w:ascii="Candara" w:hAnsi="Candara"/>
                <w:b/>
                <w:noProof/>
              </w:rPr>
              <w:t>1.3.</w:t>
            </w:r>
            <w:r w:rsidR="00B8607B">
              <w:rPr>
                <w:rFonts w:eastAsiaTheme="minorEastAsia"/>
                <w:noProof/>
              </w:rPr>
              <w:tab/>
            </w:r>
            <w:r w:rsidR="00B8607B" w:rsidRPr="00CD337F">
              <w:rPr>
                <w:rStyle w:val="Hyperlink"/>
                <w:rFonts w:ascii="Candara" w:hAnsi="Candara"/>
                <w:b/>
                <w:noProof/>
              </w:rPr>
              <w:t>Sampling</w:t>
            </w:r>
            <w:r w:rsidR="00B8607B">
              <w:rPr>
                <w:noProof/>
                <w:webHidden/>
              </w:rPr>
              <w:tab/>
            </w:r>
            <w:r w:rsidR="00B8607B">
              <w:rPr>
                <w:noProof/>
                <w:webHidden/>
              </w:rPr>
              <w:fldChar w:fldCharType="begin"/>
            </w:r>
            <w:r w:rsidR="00B8607B">
              <w:rPr>
                <w:noProof/>
                <w:webHidden/>
              </w:rPr>
              <w:instrText xml:space="preserve"> PAGEREF _Toc11494023 \h </w:instrText>
            </w:r>
            <w:r w:rsidR="00B8607B">
              <w:rPr>
                <w:noProof/>
                <w:webHidden/>
              </w:rPr>
            </w:r>
            <w:r w:rsidR="00B8607B">
              <w:rPr>
                <w:noProof/>
                <w:webHidden/>
              </w:rPr>
              <w:fldChar w:fldCharType="separate"/>
            </w:r>
            <w:r w:rsidR="001A57C0">
              <w:rPr>
                <w:noProof/>
                <w:webHidden/>
              </w:rPr>
              <w:t>3</w:t>
            </w:r>
            <w:r w:rsidR="00B8607B">
              <w:rPr>
                <w:noProof/>
                <w:webHidden/>
              </w:rPr>
              <w:fldChar w:fldCharType="end"/>
            </w:r>
          </w:hyperlink>
        </w:p>
        <w:p w14:paraId="477CE0F6" w14:textId="40477DAA" w:rsidR="00B8607B" w:rsidRDefault="00225302">
          <w:pPr>
            <w:pStyle w:val="TOC2"/>
            <w:tabs>
              <w:tab w:val="left" w:pos="880"/>
              <w:tab w:val="right" w:leader="dot" w:pos="9016"/>
            </w:tabs>
            <w:rPr>
              <w:rFonts w:eastAsiaTheme="minorEastAsia"/>
              <w:noProof/>
            </w:rPr>
          </w:pPr>
          <w:hyperlink w:anchor="_Toc11494024" w:history="1">
            <w:r w:rsidR="00B8607B" w:rsidRPr="00CD337F">
              <w:rPr>
                <w:rStyle w:val="Hyperlink"/>
                <w:rFonts w:ascii="Candara" w:hAnsi="Candara"/>
                <w:b/>
                <w:noProof/>
              </w:rPr>
              <w:t>1.4.</w:t>
            </w:r>
            <w:r w:rsidR="00B8607B">
              <w:rPr>
                <w:rFonts w:eastAsiaTheme="minorEastAsia"/>
                <w:noProof/>
              </w:rPr>
              <w:tab/>
            </w:r>
            <w:r w:rsidR="00B8607B" w:rsidRPr="00CD337F">
              <w:rPr>
                <w:rStyle w:val="Hyperlink"/>
                <w:rFonts w:ascii="Candara" w:hAnsi="Candara"/>
                <w:b/>
                <w:noProof/>
              </w:rPr>
              <w:t>Data collection tools</w:t>
            </w:r>
            <w:r w:rsidR="00B8607B">
              <w:rPr>
                <w:noProof/>
                <w:webHidden/>
              </w:rPr>
              <w:tab/>
            </w:r>
            <w:r w:rsidR="00B8607B">
              <w:rPr>
                <w:noProof/>
                <w:webHidden/>
              </w:rPr>
              <w:fldChar w:fldCharType="begin"/>
            </w:r>
            <w:r w:rsidR="00B8607B">
              <w:rPr>
                <w:noProof/>
                <w:webHidden/>
              </w:rPr>
              <w:instrText xml:space="preserve"> PAGEREF _Toc11494024 \h </w:instrText>
            </w:r>
            <w:r w:rsidR="00B8607B">
              <w:rPr>
                <w:noProof/>
                <w:webHidden/>
              </w:rPr>
            </w:r>
            <w:r w:rsidR="00B8607B">
              <w:rPr>
                <w:noProof/>
                <w:webHidden/>
              </w:rPr>
              <w:fldChar w:fldCharType="separate"/>
            </w:r>
            <w:r w:rsidR="001A57C0">
              <w:rPr>
                <w:noProof/>
                <w:webHidden/>
              </w:rPr>
              <w:t>6</w:t>
            </w:r>
            <w:r w:rsidR="00B8607B">
              <w:rPr>
                <w:noProof/>
                <w:webHidden/>
              </w:rPr>
              <w:fldChar w:fldCharType="end"/>
            </w:r>
          </w:hyperlink>
        </w:p>
        <w:p w14:paraId="1CCF1BB4" w14:textId="2BC8FFE0" w:rsidR="00B8607B" w:rsidRDefault="00225302">
          <w:pPr>
            <w:pStyle w:val="TOC2"/>
            <w:tabs>
              <w:tab w:val="left" w:pos="880"/>
              <w:tab w:val="right" w:leader="dot" w:pos="9016"/>
            </w:tabs>
            <w:rPr>
              <w:rFonts w:eastAsiaTheme="minorEastAsia"/>
              <w:noProof/>
            </w:rPr>
          </w:pPr>
          <w:hyperlink w:anchor="_Toc11494025" w:history="1">
            <w:r w:rsidR="00B8607B" w:rsidRPr="00CD337F">
              <w:rPr>
                <w:rStyle w:val="Hyperlink"/>
                <w:rFonts w:ascii="Candara" w:hAnsi="Candara"/>
                <w:b/>
                <w:noProof/>
              </w:rPr>
              <w:t>1.5.</w:t>
            </w:r>
            <w:r w:rsidR="00B8607B">
              <w:rPr>
                <w:rFonts w:eastAsiaTheme="minorEastAsia"/>
                <w:noProof/>
              </w:rPr>
              <w:tab/>
            </w:r>
            <w:r w:rsidR="00B8607B" w:rsidRPr="00CD337F">
              <w:rPr>
                <w:rStyle w:val="Hyperlink"/>
                <w:rFonts w:ascii="Candara" w:hAnsi="Candara"/>
                <w:b/>
                <w:noProof/>
              </w:rPr>
              <w:t>Recruitment and training of the supervisors and data collectors for the HFA/DQR</w:t>
            </w:r>
            <w:r w:rsidR="00B8607B">
              <w:rPr>
                <w:noProof/>
                <w:webHidden/>
              </w:rPr>
              <w:tab/>
            </w:r>
            <w:r w:rsidR="00B8607B">
              <w:rPr>
                <w:noProof/>
                <w:webHidden/>
              </w:rPr>
              <w:fldChar w:fldCharType="begin"/>
            </w:r>
            <w:r w:rsidR="00B8607B">
              <w:rPr>
                <w:noProof/>
                <w:webHidden/>
              </w:rPr>
              <w:instrText xml:space="preserve"> PAGEREF _Toc11494025 \h </w:instrText>
            </w:r>
            <w:r w:rsidR="00B8607B">
              <w:rPr>
                <w:noProof/>
                <w:webHidden/>
              </w:rPr>
            </w:r>
            <w:r w:rsidR="00B8607B">
              <w:rPr>
                <w:noProof/>
                <w:webHidden/>
              </w:rPr>
              <w:fldChar w:fldCharType="separate"/>
            </w:r>
            <w:r w:rsidR="001A57C0">
              <w:rPr>
                <w:noProof/>
                <w:webHidden/>
              </w:rPr>
              <w:t>6</w:t>
            </w:r>
            <w:r w:rsidR="00B8607B">
              <w:rPr>
                <w:noProof/>
                <w:webHidden/>
              </w:rPr>
              <w:fldChar w:fldCharType="end"/>
            </w:r>
          </w:hyperlink>
        </w:p>
        <w:p w14:paraId="5066962A" w14:textId="623B046E" w:rsidR="00B8607B" w:rsidRDefault="00225302">
          <w:pPr>
            <w:pStyle w:val="TOC2"/>
            <w:tabs>
              <w:tab w:val="left" w:pos="880"/>
              <w:tab w:val="right" w:leader="dot" w:pos="9016"/>
            </w:tabs>
            <w:rPr>
              <w:rFonts w:eastAsiaTheme="minorEastAsia"/>
              <w:noProof/>
            </w:rPr>
          </w:pPr>
          <w:hyperlink w:anchor="_Toc11494026" w:history="1">
            <w:r w:rsidR="00B8607B" w:rsidRPr="00CD337F">
              <w:rPr>
                <w:rStyle w:val="Hyperlink"/>
                <w:rFonts w:ascii="Candara" w:hAnsi="Candara"/>
                <w:b/>
                <w:noProof/>
              </w:rPr>
              <w:t>1.6.</w:t>
            </w:r>
            <w:r w:rsidR="00B8607B">
              <w:rPr>
                <w:rFonts w:eastAsiaTheme="minorEastAsia"/>
                <w:noProof/>
              </w:rPr>
              <w:tab/>
            </w:r>
            <w:r w:rsidR="00B8607B" w:rsidRPr="00CD337F">
              <w:rPr>
                <w:rStyle w:val="Hyperlink"/>
                <w:rFonts w:ascii="Candara" w:hAnsi="Candara"/>
                <w:b/>
                <w:noProof/>
              </w:rPr>
              <w:t>Implementation of the field survey</w:t>
            </w:r>
            <w:r w:rsidR="00B8607B">
              <w:rPr>
                <w:noProof/>
                <w:webHidden/>
              </w:rPr>
              <w:tab/>
            </w:r>
            <w:r w:rsidR="00B8607B">
              <w:rPr>
                <w:noProof/>
                <w:webHidden/>
              </w:rPr>
              <w:fldChar w:fldCharType="begin"/>
            </w:r>
            <w:r w:rsidR="00B8607B">
              <w:rPr>
                <w:noProof/>
                <w:webHidden/>
              </w:rPr>
              <w:instrText xml:space="preserve"> PAGEREF _Toc11494026 \h </w:instrText>
            </w:r>
            <w:r w:rsidR="00B8607B">
              <w:rPr>
                <w:noProof/>
                <w:webHidden/>
              </w:rPr>
            </w:r>
            <w:r w:rsidR="00B8607B">
              <w:rPr>
                <w:noProof/>
                <w:webHidden/>
              </w:rPr>
              <w:fldChar w:fldCharType="separate"/>
            </w:r>
            <w:r w:rsidR="001A57C0">
              <w:rPr>
                <w:noProof/>
                <w:webHidden/>
              </w:rPr>
              <w:t>6</w:t>
            </w:r>
            <w:r w:rsidR="00B8607B">
              <w:rPr>
                <w:noProof/>
                <w:webHidden/>
              </w:rPr>
              <w:fldChar w:fldCharType="end"/>
            </w:r>
          </w:hyperlink>
        </w:p>
        <w:p w14:paraId="0A9BB7EE" w14:textId="00EBEA6C" w:rsidR="00B8607B" w:rsidRDefault="00225302">
          <w:pPr>
            <w:pStyle w:val="TOC2"/>
            <w:tabs>
              <w:tab w:val="left" w:pos="880"/>
              <w:tab w:val="right" w:leader="dot" w:pos="9016"/>
            </w:tabs>
            <w:rPr>
              <w:rFonts w:eastAsiaTheme="minorEastAsia"/>
              <w:noProof/>
            </w:rPr>
          </w:pPr>
          <w:hyperlink w:anchor="_Toc11494027" w:history="1">
            <w:r w:rsidR="00B8607B" w:rsidRPr="00CD337F">
              <w:rPr>
                <w:rStyle w:val="Hyperlink"/>
                <w:rFonts w:ascii="Candara" w:hAnsi="Candara"/>
                <w:b/>
                <w:noProof/>
              </w:rPr>
              <w:t>1.7.</w:t>
            </w:r>
            <w:r w:rsidR="00B8607B">
              <w:rPr>
                <w:rFonts w:eastAsiaTheme="minorEastAsia"/>
                <w:noProof/>
              </w:rPr>
              <w:tab/>
            </w:r>
            <w:r w:rsidR="00B8607B" w:rsidRPr="00CD337F">
              <w:rPr>
                <w:rStyle w:val="Hyperlink"/>
                <w:rFonts w:ascii="Candara" w:hAnsi="Candara"/>
                <w:b/>
                <w:noProof/>
              </w:rPr>
              <w:t>Date collection and entry</w:t>
            </w:r>
            <w:r w:rsidR="00B8607B">
              <w:rPr>
                <w:noProof/>
                <w:webHidden/>
              </w:rPr>
              <w:tab/>
            </w:r>
            <w:r w:rsidR="00B8607B">
              <w:rPr>
                <w:noProof/>
                <w:webHidden/>
              </w:rPr>
              <w:fldChar w:fldCharType="begin"/>
            </w:r>
            <w:r w:rsidR="00B8607B">
              <w:rPr>
                <w:noProof/>
                <w:webHidden/>
              </w:rPr>
              <w:instrText xml:space="preserve"> PAGEREF _Toc11494027 \h </w:instrText>
            </w:r>
            <w:r w:rsidR="00B8607B">
              <w:rPr>
                <w:noProof/>
                <w:webHidden/>
              </w:rPr>
            </w:r>
            <w:r w:rsidR="00B8607B">
              <w:rPr>
                <w:noProof/>
                <w:webHidden/>
              </w:rPr>
              <w:fldChar w:fldCharType="separate"/>
            </w:r>
            <w:r w:rsidR="001A57C0">
              <w:rPr>
                <w:noProof/>
                <w:webHidden/>
              </w:rPr>
              <w:t>6</w:t>
            </w:r>
            <w:r w:rsidR="00B8607B">
              <w:rPr>
                <w:noProof/>
                <w:webHidden/>
              </w:rPr>
              <w:fldChar w:fldCharType="end"/>
            </w:r>
          </w:hyperlink>
        </w:p>
        <w:p w14:paraId="12EBE3CE" w14:textId="36324E31" w:rsidR="00B8607B" w:rsidRDefault="00225302">
          <w:pPr>
            <w:pStyle w:val="TOC2"/>
            <w:tabs>
              <w:tab w:val="left" w:pos="880"/>
              <w:tab w:val="right" w:leader="dot" w:pos="9016"/>
            </w:tabs>
            <w:rPr>
              <w:rFonts w:eastAsiaTheme="minorEastAsia"/>
              <w:noProof/>
            </w:rPr>
          </w:pPr>
          <w:hyperlink w:anchor="_Toc11494028" w:history="1">
            <w:r w:rsidR="00B8607B" w:rsidRPr="00CD337F">
              <w:rPr>
                <w:rStyle w:val="Hyperlink"/>
                <w:rFonts w:ascii="Candara" w:hAnsi="Candara"/>
                <w:b/>
                <w:noProof/>
              </w:rPr>
              <w:t>1.8.</w:t>
            </w:r>
            <w:r w:rsidR="00B8607B">
              <w:rPr>
                <w:rFonts w:eastAsiaTheme="minorEastAsia"/>
                <w:noProof/>
              </w:rPr>
              <w:tab/>
            </w:r>
            <w:r w:rsidR="00B8607B" w:rsidRPr="00CD337F">
              <w:rPr>
                <w:rStyle w:val="Hyperlink"/>
                <w:rFonts w:ascii="Candara" w:hAnsi="Candara"/>
                <w:b/>
                <w:noProof/>
              </w:rPr>
              <w:t>Data quality</w:t>
            </w:r>
            <w:r w:rsidR="00B8607B">
              <w:rPr>
                <w:noProof/>
                <w:webHidden/>
              </w:rPr>
              <w:tab/>
            </w:r>
            <w:r w:rsidR="00B8607B">
              <w:rPr>
                <w:noProof/>
                <w:webHidden/>
              </w:rPr>
              <w:fldChar w:fldCharType="begin"/>
            </w:r>
            <w:r w:rsidR="00B8607B">
              <w:rPr>
                <w:noProof/>
                <w:webHidden/>
              </w:rPr>
              <w:instrText xml:space="preserve"> PAGEREF _Toc11494028 \h </w:instrText>
            </w:r>
            <w:r w:rsidR="00B8607B">
              <w:rPr>
                <w:noProof/>
                <w:webHidden/>
              </w:rPr>
            </w:r>
            <w:r w:rsidR="00B8607B">
              <w:rPr>
                <w:noProof/>
                <w:webHidden/>
              </w:rPr>
              <w:fldChar w:fldCharType="separate"/>
            </w:r>
            <w:r w:rsidR="001A57C0">
              <w:rPr>
                <w:noProof/>
                <w:webHidden/>
              </w:rPr>
              <w:t>7</w:t>
            </w:r>
            <w:r w:rsidR="00B8607B">
              <w:rPr>
                <w:noProof/>
                <w:webHidden/>
              </w:rPr>
              <w:fldChar w:fldCharType="end"/>
            </w:r>
          </w:hyperlink>
        </w:p>
        <w:p w14:paraId="7E8F0E1B" w14:textId="530D394D" w:rsidR="00B8607B" w:rsidRDefault="00225302">
          <w:pPr>
            <w:pStyle w:val="TOC2"/>
            <w:tabs>
              <w:tab w:val="left" w:pos="880"/>
              <w:tab w:val="right" w:leader="dot" w:pos="9016"/>
            </w:tabs>
            <w:rPr>
              <w:rFonts w:eastAsiaTheme="minorEastAsia"/>
              <w:noProof/>
            </w:rPr>
          </w:pPr>
          <w:hyperlink w:anchor="_Toc11494029" w:history="1">
            <w:r w:rsidR="00B8607B" w:rsidRPr="00CD337F">
              <w:rPr>
                <w:rStyle w:val="Hyperlink"/>
                <w:rFonts w:ascii="Candara" w:hAnsi="Candara"/>
                <w:b/>
                <w:noProof/>
              </w:rPr>
              <w:t>1.9.</w:t>
            </w:r>
            <w:r w:rsidR="00B8607B">
              <w:rPr>
                <w:rFonts w:eastAsiaTheme="minorEastAsia"/>
                <w:noProof/>
              </w:rPr>
              <w:tab/>
            </w:r>
            <w:r w:rsidR="00B8607B" w:rsidRPr="00CD337F">
              <w:rPr>
                <w:rStyle w:val="Hyperlink"/>
                <w:rFonts w:ascii="Candara" w:hAnsi="Candara"/>
                <w:b/>
                <w:noProof/>
              </w:rPr>
              <w:t>Data analysis</w:t>
            </w:r>
            <w:r w:rsidR="00B8607B">
              <w:rPr>
                <w:noProof/>
                <w:webHidden/>
              </w:rPr>
              <w:tab/>
            </w:r>
            <w:r w:rsidR="00B8607B">
              <w:rPr>
                <w:noProof/>
                <w:webHidden/>
              </w:rPr>
              <w:fldChar w:fldCharType="begin"/>
            </w:r>
            <w:r w:rsidR="00B8607B">
              <w:rPr>
                <w:noProof/>
                <w:webHidden/>
              </w:rPr>
              <w:instrText xml:space="preserve"> PAGEREF _Toc11494029 \h </w:instrText>
            </w:r>
            <w:r w:rsidR="00B8607B">
              <w:rPr>
                <w:noProof/>
                <w:webHidden/>
              </w:rPr>
            </w:r>
            <w:r w:rsidR="00B8607B">
              <w:rPr>
                <w:noProof/>
                <w:webHidden/>
              </w:rPr>
              <w:fldChar w:fldCharType="separate"/>
            </w:r>
            <w:r w:rsidR="001A57C0">
              <w:rPr>
                <w:noProof/>
                <w:webHidden/>
              </w:rPr>
              <w:t>7</w:t>
            </w:r>
            <w:r w:rsidR="00B8607B">
              <w:rPr>
                <w:noProof/>
                <w:webHidden/>
              </w:rPr>
              <w:fldChar w:fldCharType="end"/>
            </w:r>
          </w:hyperlink>
        </w:p>
        <w:p w14:paraId="511D0B75" w14:textId="141C139D" w:rsidR="00B8607B" w:rsidRDefault="00225302">
          <w:pPr>
            <w:pStyle w:val="TOC2"/>
            <w:tabs>
              <w:tab w:val="left" w:pos="880"/>
              <w:tab w:val="right" w:leader="dot" w:pos="9016"/>
            </w:tabs>
            <w:rPr>
              <w:rFonts w:eastAsiaTheme="minorEastAsia"/>
              <w:noProof/>
            </w:rPr>
          </w:pPr>
          <w:hyperlink w:anchor="_Toc11494030" w:history="1">
            <w:r w:rsidR="00B8607B" w:rsidRPr="00CD337F">
              <w:rPr>
                <w:rStyle w:val="Hyperlink"/>
                <w:rFonts w:ascii="Candara" w:hAnsi="Candara"/>
                <w:b/>
                <w:noProof/>
              </w:rPr>
              <w:t>1.10.</w:t>
            </w:r>
            <w:r w:rsidR="00B8607B">
              <w:rPr>
                <w:rFonts w:eastAsiaTheme="minorEastAsia"/>
                <w:noProof/>
              </w:rPr>
              <w:tab/>
            </w:r>
            <w:r w:rsidR="00B8607B" w:rsidRPr="00CD337F">
              <w:rPr>
                <w:rStyle w:val="Hyperlink"/>
                <w:rFonts w:ascii="Candara" w:hAnsi="Candara"/>
                <w:b/>
                <w:noProof/>
              </w:rPr>
              <w:t>Dissemination of results</w:t>
            </w:r>
            <w:r w:rsidR="00B8607B">
              <w:rPr>
                <w:noProof/>
                <w:webHidden/>
              </w:rPr>
              <w:tab/>
            </w:r>
            <w:r w:rsidR="00B8607B">
              <w:rPr>
                <w:noProof/>
                <w:webHidden/>
              </w:rPr>
              <w:fldChar w:fldCharType="begin"/>
            </w:r>
            <w:r w:rsidR="00B8607B">
              <w:rPr>
                <w:noProof/>
                <w:webHidden/>
              </w:rPr>
              <w:instrText xml:space="preserve"> PAGEREF _Toc11494030 \h </w:instrText>
            </w:r>
            <w:r w:rsidR="00B8607B">
              <w:rPr>
                <w:noProof/>
                <w:webHidden/>
              </w:rPr>
            </w:r>
            <w:r w:rsidR="00B8607B">
              <w:rPr>
                <w:noProof/>
                <w:webHidden/>
              </w:rPr>
              <w:fldChar w:fldCharType="separate"/>
            </w:r>
            <w:r w:rsidR="001A57C0">
              <w:rPr>
                <w:noProof/>
                <w:webHidden/>
              </w:rPr>
              <w:t>7</w:t>
            </w:r>
            <w:r w:rsidR="00B8607B">
              <w:rPr>
                <w:noProof/>
                <w:webHidden/>
              </w:rPr>
              <w:fldChar w:fldCharType="end"/>
            </w:r>
          </w:hyperlink>
        </w:p>
        <w:p w14:paraId="624D65D6" w14:textId="094DAC63" w:rsidR="00B8607B" w:rsidRDefault="00225302">
          <w:pPr>
            <w:pStyle w:val="TOC1"/>
            <w:tabs>
              <w:tab w:val="left" w:pos="440"/>
              <w:tab w:val="right" w:leader="dot" w:pos="9016"/>
            </w:tabs>
            <w:rPr>
              <w:rFonts w:eastAsiaTheme="minorEastAsia"/>
              <w:noProof/>
            </w:rPr>
          </w:pPr>
          <w:hyperlink w:anchor="_Toc11494031" w:history="1">
            <w:r w:rsidR="00B8607B" w:rsidRPr="00CD337F">
              <w:rPr>
                <w:rStyle w:val="Hyperlink"/>
                <w:rFonts w:ascii="Candara" w:hAnsi="Candara"/>
                <w:b/>
                <w:noProof/>
              </w:rPr>
              <w:t>2.</w:t>
            </w:r>
            <w:r w:rsidR="00B8607B">
              <w:rPr>
                <w:rFonts w:eastAsiaTheme="minorEastAsia"/>
                <w:noProof/>
              </w:rPr>
              <w:tab/>
            </w:r>
            <w:r w:rsidR="00B8607B" w:rsidRPr="00CD337F">
              <w:rPr>
                <w:rStyle w:val="Hyperlink"/>
                <w:rFonts w:ascii="Candara" w:hAnsi="Candara"/>
                <w:b/>
                <w:noProof/>
              </w:rPr>
              <w:t>RESULTS</w:t>
            </w:r>
            <w:r w:rsidR="00B8607B">
              <w:rPr>
                <w:noProof/>
                <w:webHidden/>
              </w:rPr>
              <w:tab/>
            </w:r>
            <w:r w:rsidR="00B8607B">
              <w:rPr>
                <w:noProof/>
                <w:webHidden/>
              </w:rPr>
              <w:fldChar w:fldCharType="begin"/>
            </w:r>
            <w:r w:rsidR="00B8607B">
              <w:rPr>
                <w:noProof/>
                <w:webHidden/>
              </w:rPr>
              <w:instrText xml:space="preserve"> PAGEREF _Toc11494031 \h </w:instrText>
            </w:r>
            <w:r w:rsidR="00B8607B">
              <w:rPr>
                <w:noProof/>
                <w:webHidden/>
              </w:rPr>
            </w:r>
            <w:r w:rsidR="00B8607B">
              <w:rPr>
                <w:noProof/>
                <w:webHidden/>
              </w:rPr>
              <w:fldChar w:fldCharType="separate"/>
            </w:r>
            <w:r w:rsidR="001A57C0">
              <w:rPr>
                <w:noProof/>
                <w:webHidden/>
              </w:rPr>
              <w:t>8</w:t>
            </w:r>
            <w:r w:rsidR="00B8607B">
              <w:rPr>
                <w:noProof/>
                <w:webHidden/>
              </w:rPr>
              <w:fldChar w:fldCharType="end"/>
            </w:r>
          </w:hyperlink>
        </w:p>
        <w:p w14:paraId="4E48B6E1" w14:textId="0313A13F" w:rsidR="00B8607B" w:rsidRDefault="00225302">
          <w:pPr>
            <w:pStyle w:val="TOC2"/>
            <w:tabs>
              <w:tab w:val="left" w:pos="880"/>
              <w:tab w:val="right" w:leader="dot" w:pos="9016"/>
            </w:tabs>
            <w:rPr>
              <w:rFonts w:eastAsiaTheme="minorEastAsia"/>
              <w:noProof/>
            </w:rPr>
          </w:pPr>
          <w:hyperlink w:anchor="_Toc11494032" w:history="1">
            <w:r w:rsidR="00B8607B" w:rsidRPr="00CD337F">
              <w:rPr>
                <w:rStyle w:val="Hyperlink"/>
                <w:rFonts w:ascii="Candara" w:hAnsi="Candara"/>
                <w:b/>
                <w:noProof/>
              </w:rPr>
              <w:t>2.1.</w:t>
            </w:r>
            <w:r w:rsidR="00B8607B">
              <w:rPr>
                <w:rFonts w:eastAsiaTheme="minorEastAsia"/>
                <w:noProof/>
              </w:rPr>
              <w:tab/>
            </w:r>
            <w:r w:rsidR="00B8607B" w:rsidRPr="00CD337F">
              <w:rPr>
                <w:rStyle w:val="Hyperlink"/>
                <w:rFonts w:ascii="Candara" w:hAnsi="Candara"/>
                <w:b/>
                <w:noProof/>
              </w:rPr>
              <w:t>Distribution of health facilities surveyed</w:t>
            </w:r>
            <w:r w:rsidR="00B8607B">
              <w:rPr>
                <w:noProof/>
                <w:webHidden/>
              </w:rPr>
              <w:tab/>
            </w:r>
            <w:r w:rsidR="00B8607B">
              <w:rPr>
                <w:noProof/>
                <w:webHidden/>
              </w:rPr>
              <w:fldChar w:fldCharType="begin"/>
            </w:r>
            <w:r w:rsidR="00B8607B">
              <w:rPr>
                <w:noProof/>
                <w:webHidden/>
              </w:rPr>
              <w:instrText xml:space="preserve"> PAGEREF _Toc11494032 \h </w:instrText>
            </w:r>
            <w:r w:rsidR="00B8607B">
              <w:rPr>
                <w:noProof/>
                <w:webHidden/>
              </w:rPr>
            </w:r>
            <w:r w:rsidR="00B8607B">
              <w:rPr>
                <w:noProof/>
                <w:webHidden/>
              </w:rPr>
              <w:fldChar w:fldCharType="separate"/>
            </w:r>
            <w:r w:rsidR="001A57C0">
              <w:rPr>
                <w:noProof/>
                <w:webHidden/>
              </w:rPr>
              <w:t>8</w:t>
            </w:r>
            <w:r w:rsidR="00B8607B">
              <w:rPr>
                <w:noProof/>
                <w:webHidden/>
              </w:rPr>
              <w:fldChar w:fldCharType="end"/>
            </w:r>
          </w:hyperlink>
        </w:p>
        <w:p w14:paraId="569CC468" w14:textId="4212067A" w:rsidR="00B8607B" w:rsidRDefault="00225302">
          <w:pPr>
            <w:pStyle w:val="TOC2"/>
            <w:tabs>
              <w:tab w:val="left" w:pos="880"/>
              <w:tab w:val="right" w:leader="dot" w:pos="9016"/>
            </w:tabs>
            <w:rPr>
              <w:rFonts w:eastAsiaTheme="minorEastAsia"/>
              <w:noProof/>
            </w:rPr>
          </w:pPr>
          <w:hyperlink w:anchor="_Toc11494033" w:history="1">
            <w:r w:rsidR="00B8607B" w:rsidRPr="00CD337F">
              <w:rPr>
                <w:rStyle w:val="Hyperlink"/>
                <w:rFonts w:ascii="Candara" w:hAnsi="Candara"/>
                <w:b/>
                <w:noProof/>
              </w:rPr>
              <w:t>2.2.</w:t>
            </w:r>
            <w:r w:rsidR="00B8607B">
              <w:rPr>
                <w:rFonts w:eastAsiaTheme="minorEastAsia"/>
                <w:noProof/>
              </w:rPr>
              <w:tab/>
            </w:r>
            <w:r w:rsidR="00B8607B" w:rsidRPr="00CD337F">
              <w:rPr>
                <w:rStyle w:val="Hyperlink"/>
                <w:rFonts w:ascii="Candara" w:hAnsi="Candara"/>
                <w:b/>
                <w:noProof/>
              </w:rPr>
              <w:t>General Service readiness index</w:t>
            </w:r>
            <w:r w:rsidR="00B8607B">
              <w:rPr>
                <w:noProof/>
                <w:webHidden/>
              </w:rPr>
              <w:tab/>
            </w:r>
            <w:r w:rsidR="00B8607B">
              <w:rPr>
                <w:noProof/>
                <w:webHidden/>
              </w:rPr>
              <w:fldChar w:fldCharType="begin"/>
            </w:r>
            <w:r w:rsidR="00B8607B">
              <w:rPr>
                <w:noProof/>
                <w:webHidden/>
              </w:rPr>
              <w:instrText xml:space="preserve"> PAGEREF _Toc11494033 \h </w:instrText>
            </w:r>
            <w:r w:rsidR="00B8607B">
              <w:rPr>
                <w:noProof/>
                <w:webHidden/>
              </w:rPr>
            </w:r>
            <w:r w:rsidR="00B8607B">
              <w:rPr>
                <w:noProof/>
                <w:webHidden/>
              </w:rPr>
              <w:fldChar w:fldCharType="separate"/>
            </w:r>
            <w:r w:rsidR="001A57C0">
              <w:rPr>
                <w:noProof/>
                <w:webHidden/>
              </w:rPr>
              <w:t>10</w:t>
            </w:r>
            <w:r w:rsidR="00B8607B">
              <w:rPr>
                <w:noProof/>
                <w:webHidden/>
              </w:rPr>
              <w:fldChar w:fldCharType="end"/>
            </w:r>
          </w:hyperlink>
        </w:p>
        <w:p w14:paraId="5727AE7C" w14:textId="3E701624" w:rsidR="00B8607B" w:rsidRDefault="00225302">
          <w:pPr>
            <w:pStyle w:val="TOC2"/>
            <w:tabs>
              <w:tab w:val="left" w:pos="880"/>
              <w:tab w:val="right" w:leader="dot" w:pos="9016"/>
            </w:tabs>
            <w:rPr>
              <w:rFonts w:eastAsiaTheme="minorEastAsia"/>
              <w:noProof/>
            </w:rPr>
          </w:pPr>
          <w:hyperlink w:anchor="_Toc11494034" w:history="1">
            <w:r w:rsidR="00B8607B" w:rsidRPr="00CD337F">
              <w:rPr>
                <w:rStyle w:val="Hyperlink"/>
                <w:rFonts w:ascii="Candara" w:hAnsi="Candara"/>
                <w:b/>
                <w:noProof/>
              </w:rPr>
              <w:t>2.3.</w:t>
            </w:r>
            <w:r w:rsidR="00B8607B">
              <w:rPr>
                <w:rFonts w:eastAsiaTheme="minorEastAsia"/>
                <w:noProof/>
              </w:rPr>
              <w:tab/>
            </w:r>
            <w:r w:rsidR="00B8607B" w:rsidRPr="00CD337F">
              <w:rPr>
                <w:rStyle w:val="Hyperlink"/>
                <w:rFonts w:ascii="Candara" w:hAnsi="Candara"/>
                <w:b/>
                <w:noProof/>
              </w:rPr>
              <w:t>Basic amenities</w:t>
            </w:r>
            <w:r w:rsidR="00B8607B">
              <w:rPr>
                <w:noProof/>
                <w:webHidden/>
              </w:rPr>
              <w:tab/>
            </w:r>
            <w:r w:rsidR="00B8607B">
              <w:rPr>
                <w:noProof/>
                <w:webHidden/>
              </w:rPr>
              <w:fldChar w:fldCharType="begin"/>
            </w:r>
            <w:r w:rsidR="00B8607B">
              <w:rPr>
                <w:noProof/>
                <w:webHidden/>
              </w:rPr>
              <w:instrText xml:space="preserve"> PAGEREF _Toc11494034 \h </w:instrText>
            </w:r>
            <w:r w:rsidR="00B8607B">
              <w:rPr>
                <w:noProof/>
                <w:webHidden/>
              </w:rPr>
            </w:r>
            <w:r w:rsidR="00B8607B">
              <w:rPr>
                <w:noProof/>
                <w:webHidden/>
              </w:rPr>
              <w:fldChar w:fldCharType="separate"/>
            </w:r>
            <w:r w:rsidR="001A57C0">
              <w:rPr>
                <w:noProof/>
                <w:webHidden/>
              </w:rPr>
              <w:t>11</w:t>
            </w:r>
            <w:r w:rsidR="00B8607B">
              <w:rPr>
                <w:noProof/>
                <w:webHidden/>
              </w:rPr>
              <w:fldChar w:fldCharType="end"/>
            </w:r>
          </w:hyperlink>
        </w:p>
        <w:p w14:paraId="285DA9AF" w14:textId="58409E27" w:rsidR="00B8607B" w:rsidRDefault="00225302">
          <w:pPr>
            <w:pStyle w:val="TOC2"/>
            <w:tabs>
              <w:tab w:val="left" w:pos="880"/>
              <w:tab w:val="right" w:leader="dot" w:pos="9016"/>
            </w:tabs>
            <w:rPr>
              <w:rFonts w:eastAsiaTheme="minorEastAsia"/>
              <w:noProof/>
            </w:rPr>
          </w:pPr>
          <w:hyperlink w:anchor="_Toc11494035" w:history="1">
            <w:r w:rsidR="00B8607B" w:rsidRPr="00CD337F">
              <w:rPr>
                <w:rStyle w:val="Hyperlink"/>
                <w:rFonts w:ascii="Candara" w:hAnsi="Candara"/>
                <w:b/>
                <w:noProof/>
              </w:rPr>
              <w:t>2.4.</w:t>
            </w:r>
            <w:r w:rsidR="00B8607B">
              <w:rPr>
                <w:rFonts w:eastAsiaTheme="minorEastAsia"/>
                <w:noProof/>
              </w:rPr>
              <w:tab/>
            </w:r>
            <w:r w:rsidR="00B8607B" w:rsidRPr="00CD337F">
              <w:rPr>
                <w:rStyle w:val="Hyperlink"/>
                <w:rFonts w:ascii="Candara" w:hAnsi="Candara"/>
                <w:b/>
                <w:noProof/>
              </w:rPr>
              <w:t>Basic Equipment</w:t>
            </w:r>
            <w:r w:rsidR="00B8607B">
              <w:rPr>
                <w:noProof/>
                <w:webHidden/>
              </w:rPr>
              <w:tab/>
            </w:r>
            <w:r w:rsidR="00B8607B">
              <w:rPr>
                <w:noProof/>
                <w:webHidden/>
              </w:rPr>
              <w:fldChar w:fldCharType="begin"/>
            </w:r>
            <w:r w:rsidR="00B8607B">
              <w:rPr>
                <w:noProof/>
                <w:webHidden/>
              </w:rPr>
              <w:instrText xml:space="preserve"> PAGEREF _Toc11494035 \h </w:instrText>
            </w:r>
            <w:r w:rsidR="00B8607B">
              <w:rPr>
                <w:noProof/>
                <w:webHidden/>
              </w:rPr>
            </w:r>
            <w:r w:rsidR="00B8607B">
              <w:rPr>
                <w:noProof/>
                <w:webHidden/>
              </w:rPr>
              <w:fldChar w:fldCharType="separate"/>
            </w:r>
            <w:r w:rsidR="001A57C0">
              <w:rPr>
                <w:noProof/>
                <w:webHidden/>
              </w:rPr>
              <w:t>13</w:t>
            </w:r>
            <w:r w:rsidR="00B8607B">
              <w:rPr>
                <w:noProof/>
                <w:webHidden/>
              </w:rPr>
              <w:fldChar w:fldCharType="end"/>
            </w:r>
          </w:hyperlink>
        </w:p>
        <w:p w14:paraId="2C4361DD" w14:textId="188357F4" w:rsidR="00B8607B" w:rsidRDefault="00225302">
          <w:pPr>
            <w:pStyle w:val="TOC2"/>
            <w:tabs>
              <w:tab w:val="left" w:pos="880"/>
              <w:tab w:val="right" w:leader="dot" w:pos="9016"/>
            </w:tabs>
            <w:rPr>
              <w:rFonts w:eastAsiaTheme="minorEastAsia"/>
              <w:noProof/>
            </w:rPr>
          </w:pPr>
          <w:hyperlink w:anchor="_Toc11494036" w:history="1">
            <w:r w:rsidR="00B8607B" w:rsidRPr="00CD337F">
              <w:rPr>
                <w:rStyle w:val="Hyperlink"/>
                <w:rFonts w:ascii="Candara" w:hAnsi="Candara"/>
                <w:b/>
                <w:noProof/>
              </w:rPr>
              <w:t>2.5.</w:t>
            </w:r>
            <w:r w:rsidR="00B8607B">
              <w:rPr>
                <w:rFonts w:eastAsiaTheme="minorEastAsia"/>
                <w:noProof/>
              </w:rPr>
              <w:tab/>
            </w:r>
            <w:r w:rsidR="00B8607B" w:rsidRPr="00CD337F">
              <w:rPr>
                <w:rStyle w:val="Hyperlink"/>
                <w:rFonts w:ascii="Candara" w:hAnsi="Candara"/>
                <w:b/>
                <w:noProof/>
              </w:rPr>
              <w:t>Standard Precautions</w:t>
            </w:r>
            <w:r w:rsidR="00B8607B">
              <w:rPr>
                <w:noProof/>
                <w:webHidden/>
              </w:rPr>
              <w:tab/>
            </w:r>
            <w:r w:rsidR="00B8607B">
              <w:rPr>
                <w:noProof/>
                <w:webHidden/>
              </w:rPr>
              <w:fldChar w:fldCharType="begin"/>
            </w:r>
            <w:r w:rsidR="00B8607B">
              <w:rPr>
                <w:noProof/>
                <w:webHidden/>
              </w:rPr>
              <w:instrText xml:space="preserve"> PAGEREF _Toc11494036 \h </w:instrText>
            </w:r>
            <w:r w:rsidR="00B8607B">
              <w:rPr>
                <w:noProof/>
                <w:webHidden/>
              </w:rPr>
            </w:r>
            <w:r w:rsidR="00B8607B">
              <w:rPr>
                <w:noProof/>
                <w:webHidden/>
              </w:rPr>
              <w:fldChar w:fldCharType="separate"/>
            </w:r>
            <w:r w:rsidR="001A57C0">
              <w:rPr>
                <w:noProof/>
                <w:webHidden/>
              </w:rPr>
              <w:t>15</w:t>
            </w:r>
            <w:r w:rsidR="00B8607B">
              <w:rPr>
                <w:noProof/>
                <w:webHidden/>
              </w:rPr>
              <w:fldChar w:fldCharType="end"/>
            </w:r>
          </w:hyperlink>
        </w:p>
        <w:p w14:paraId="300E131C" w14:textId="6D018134" w:rsidR="00B8607B" w:rsidRDefault="00225302">
          <w:pPr>
            <w:pStyle w:val="TOC2"/>
            <w:tabs>
              <w:tab w:val="left" w:pos="880"/>
              <w:tab w:val="right" w:leader="dot" w:pos="9016"/>
            </w:tabs>
            <w:rPr>
              <w:rFonts w:eastAsiaTheme="minorEastAsia"/>
              <w:noProof/>
            </w:rPr>
          </w:pPr>
          <w:hyperlink w:anchor="_Toc11494037" w:history="1">
            <w:r w:rsidR="00B8607B" w:rsidRPr="00CD337F">
              <w:rPr>
                <w:rStyle w:val="Hyperlink"/>
                <w:rFonts w:ascii="Candara" w:hAnsi="Candara"/>
                <w:b/>
                <w:noProof/>
              </w:rPr>
              <w:t>2.6.</w:t>
            </w:r>
            <w:r w:rsidR="00B8607B">
              <w:rPr>
                <w:rFonts w:eastAsiaTheme="minorEastAsia"/>
                <w:noProof/>
              </w:rPr>
              <w:tab/>
            </w:r>
            <w:r w:rsidR="00B8607B" w:rsidRPr="00CD337F">
              <w:rPr>
                <w:rStyle w:val="Hyperlink"/>
                <w:rFonts w:ascii="Candara" w:hAnsi="Candara"/>
                <w:b/>
                <w:noProof/>
              </w:rPr>
              <w:t>Diagnostics Capacity</w:t>
            </w:r>
            <w:r w:rsidR="00B8607B">
              <w:rPr>
                <w:noProof/>
                <w:webHidden/>
              </w:rPr>
              <w:tab/>
            </w:r>
            <w:r w:rsidR="00B8607B">
              <w:rPr>
                <w:noProof/>
                <w:webHidden/>
              </w:rPr>
              <w:fldChar w:fldCharType="begin"/>
            </w:r>
            <w:r w:rsidR="00B8607B">
              <w:rPr>
                <w:noProof/>
                <w:webHidden/>
              </w:rPr>
              <w:instrText xml:space="preserve"> PAGEREF _Toc11494037 \h </w:instrText>
            </w:r>
            <w:r w:rsidR="00B8607B">
              <w:rPr>
                <w:noProof/>
                <w:webHidden/>
              </w:rPr>
            </w:r>
            <w:r w:rsidR="00B8607B">
              <w:rPr>
                <w:noProof/>
                <w:webHidden/>
              </w:rPr>
              <w:fldChar w:fldCharType="separate"/>
            </w:r>
            <w:r w:rsidR="001A57C0">
              <w:rPr>
                <w:noProof/>
                <w:webHidden/>
              </w:rPr>
              <w:t>17</w:t>
            </w:r>
            <w:r w:rsidR="00B8607B">
              <w:rPr>
                <w:noProof/>
                <w:webHidden/>
              </w:rPr>
              <w:fldChar w:fldCharType="end"/>
            </w:r>
          </w:hyperlink>
        </w:p>
        <w:p w14:paraId="26FFD903" w14:textId="77A49AFB" w:rsidR="00B8607B" w:rsidRDefault="00225302">
          <w:pPr>
            <w:pStyle w:val="TOC2"/>
            <w:tabs>
              <w:tab w:val="left" w:pos="880"/>
              <w:tab w:val="right" w:leader="dot" w:pos="9016"/>
            </w:tabs>
            <w:rPr>
              <w:rFonts w:eastAsiaTheme="minorEastAsia"/>
              <w:noProof/>
            </w:rPr>
          </w:pPr>
          <w:hyperlink w:anchor="_Toc11494038" w:history="1">
            <w:r w:rsidR="00B8607B" w:rsidRPr="00CD337F">
              <w:rPr>
                <w:rStyle w:val="Hyperlink"/>
                <w:rFonts w:ascii="Candara" w:hAnsi="Candara"/>
                <w:b/>
                <w:noProof/>
              </w:rPr>
              <w:t>2.7.</w:t>
            </w:r>
            <w:r w:rsidR="00B8607B">
              <w:rPr>
                <w:rFonts w:eastAsiaTheme="minorEastAsia"/>
                <w:noProof/>
              </w:rPr>
              <w:tab/>
            </w:r>
            <w:r w:rsidR="00B8607B" w:rsidRPr="00CD337F">
              <w:rPr>
                <w:rStyle w:val="Hyperlink"/>
                <w:rFonts w:ascii="Candara" w:hAnsi="Candara"/>
                <w:b/>
                <w:noProof/>
              </w:rPr>
              <w:t>Basic Obstetrics</w:t>
            </w:r>
            <w:r w:rsidR="00B8607B">
              <w:rPr>
                <w:noProof/>
                <w:webHidden/>
              </w:rPr>
              <w:tab/>
            </w:r>
            <w:r w:rsidR="00B8607B">
              <w:rPr>
                <w:noProof/>
                <w:webHidden/>
              </w:rPr>
              <w:fldChar w:fldCharType="begin"/>
            </w:r>
            <w:r w:rsidR="00B8607B">
              <w:rPr>
                <w:noProof/>
                <w:webHidden/>
              </w:rPr>
              <w:instrText xml:space="preserve"> PAGEREF _Toc11494038 \h </w:instrText>
            </w:r>
            <w:r w:rsidR="00B8607B">
              <w:rPr>
                <w:noProof/>
                <w:webHidden/>
              </w:rPr>
            </w:r>
            <w:r w:rsidR="00B8607B">
              <w:rPr>
                <w:noProof/>
                <w:webHidden/>
              </w:rPr>
              <w:fldChar w:fldCharType="separate"/>
            </w:r>
            <w:r w:rsidR="001A57C0">
              <w:rPr>
                <w:noProof/>
                <w:webHidden/>
              </w:rPr>
              <w:t>19</w:t>
            </w:r>
            <w:r w:rsidR="00B8607B">
              <w:rPr>
                <w:noProof/>
                <w:webHidden/>
              </w:rPr>
              <w:fldChar w:fldCharType="end"/>
            </w:r>
          </w:hyperlink>
        </w:p>
        <w:p w14:paraId="403518A3" w14:textId="581284DF" w:rsidR="00B8607B" w:rsidRDefault="00225302">
          <w:pPr>
            <w:pStyle w:val="TOC2"/>
            <w:tabs>
              <w:tab w:val="left" w:pos="880"/>
              <w:tab w:val="right" w:leader="dot" w:pos="9016"/>
            </w:tabs>
            <w:rPr>
              <w:rFonts w:eastAsiaTheme="minorEastAsia"/>
              <w:noProof/>
            </w:rPr>
          </w:pPr>
          <w:hyperlink w:anchor="_Toc11494039" w:history="1">
            <w:r w:rsidR="00B8607B" w:rsidRPr="00CD337F">
              <w:rPr>
                <w:rStyle w:val="Hyperlink"/>
                <w:rFonts w:ascii="Candara" w:hAnsi="Candara"/>
                <w:b/>
                <w:noProof/>
              </w:rPr>
              <w:t>2.8.</w:t>
            </w:r>
            <w:r w:rsidR="00B8607B">
              <w:rPr>
                <w:rFonts w:eastAsiaTheme="minorEastAsia"/>
                <w:noProof/>
              </w:rPr>
              <w:tab/>
            </w:r>
            <w:r w:rsidR="00B8607B" w:rsidRPr="00CD337F">
              <w:rPr>
                <w:rStyle w:val="Hyperlink"/>
                <w:rFonts w:ascii="Candara" w:hAnsi="Candara"/>
                <w:b/>
                <w:noProof/>
              </w:rPr>
              <w:t>Comprehensive Obstetric</w:t>
            </w:r>
            <w:r w:rsidR="00B8607B">
              <w:rPr>
                <w:noProof/>
                <w:webHidden/>
              </w:rPr>
              <w:tab/>
            </w:r>
            <w:r w:rsidR="00B8607B">
              <w:rPr>
                <w:noProof/>
                <w:webHidden/>
              </w:rPr>
              <w:fldChar w:fldCharType="begin"/>
            </w:r>
            <w:r w:rsidR="00B8607B">
              <w:rPr>
                <w:noProof/>
                <w:webHidden/>
              </w:rPr>
              <w:instrText xml:space="preserve"> PAGEREF _Toc11494039 \h </w:instrText>
            </w:r>
            <w:r w:rsidR="00B8607B">
              <w:rPr>
                <w:noProof/>
                <w:webHidden/>
              </w:rPr>
            </w:r>
            <w:r w:rsidR="00B8607B">
              <w:rPr>
                <w:noProof/>
                <w:webHidden/>
              </w:rPr>
              <w:fldChar w:fldCharType="separate"/>
            </w:r>
            <w:r w:rsidR="001A57C0">
              <w:rPr>
                <w:noProof/>
                <w:webHidden/>
              </w:rPr>
              <w:t>21</w:t>
            </w:r>
            <w:r w:rsidR="00B8607B">
              <w:rPr>
                <w:noProof/>
                <w:webHidden/>
              </w:rPr>
              <w:fldChar w:fldCharType="end"/>
            </w:r>
          </w:hyperlink>
        </w:p>
        <w:p w14:paraId="4FFF092B" w14:textId="2828B3CA" w:rsidR="00B8607B" w:rsidRDefault="00225302">
          <w:pPr>
            <w:pStyle w:val="TOC2"/>
            <w:tabs>
              <w:tab w:val="left" w:pos="880"/>
              <w:tab w:val="right" w:leader="dot" w:pos="9016"/>
            </w:tabs>
            <w:rPr>
              <w:rFonts w:eastAsiaTheme="minorEastAsia"/>
              <w:noProof/>
            </w:rPr>
          </w:pPr>
          <w:hyperlink w:anchor="_Toc11494040" w:history="1">
            <w:r w:rsidR="00B8607B" w:rsidRPr="00CD337F">
              <w:rPr>
                <w:rStyle w:val="Hyperlink"/>
                <w:rFonts w:ascii="Candara" w:hAnsi="Candara"/>
                <w:b/>
                <w:noProof/>
              </w:rPr>
              <w:t>2.9.</w:t>
            </w:r>
            <w:r w:rsidR="00B8607B">
              <w:rPr>
                <w:rFonts w:eastAsiaTheme="minorEastAsia"/>
                <w:noProof/>
              </w:rPr>
              <w:tab/>
            </w:r>
            <w:r w:rsidR="00B8607B" w:rsidRPr="00CD337F">
              <w:rPr>
                <w:rStyle w:val="Hyperlink"/>
                <w:rFonts w:ascii="Candara" w:hAnsi="Candara"/>
                <w:b/>
                <w:noProof/>
              </w:rPr>
              <w:t>Caesarian Section</w:t>
            </w:r>
            <w:r w:rsidR="00B8607B">
              <w:rPr>
                <w:noProof/>
                <w:webHidden/>
              </w:rPr>
              <w:tab/>
            </w:r>
            <w:r w:rsidR="00B8607B">
              <w:rPr>
                <w:noProof/>
                <w:webHidden/>
              </w:rPr>
              <w:fldChar w:fldCharType="begin"/>
            </w:r>
            <w:r w:rsidR="00B8607B">
              <w:rPr>
                <w:noProof/>
                <w:webHidden/>
              </w:rPr>
              <w:instrText xml:space="preserve"> PAGEREF _Toc11494040 \h </w:instrText>
            </w:r>
            <w:r w:rsidR="00B8607B">
              <w:rPr>
                <w:noProof/>
                <w:webHidden/>
              </w:rPr>
            </w:r>
            <w:r w:rsidR="00B8607B">
              <w:rPr>
                <w:noProof/>
                <w:webHidden/>
              </w:rPr>
              <w:fldChar w:fldCharType="separate"/>
            </w:r>
            <w:r w:rsidR="001A57C0">
              <w:rPr>
                <w:noProof/>
                <w:webHidden/>
              </w:rPr>
              <w:t>23</w:t>
            </w:r>
            <w:r w:rsidR="00B8607B">
              <w:rPr>
                <w:noProof/>
                <w:webHidden/>
              </w:rPr>
              <w:fldChar w:fldCharType="end"/>
            </w:r>
          </w:hyperlink>
        </w:p>
        <w:p w14:paraId="060F9C4D" w14:textId="7DC654CB" w:rsidR="00B8607B" w:rsidRDefault="00225302">
          <w:pPr>
            <w:pStyle w:val="TOC2"/>
            <w:tabs>
              <w:tab w:val="left" w:pos="880"/>
              <w:tab w:val="right" w:leader="dot" w:pos="9016"/>
            </w:tabs>
            <w:rPr>
              <w:rFonts w:eastAsiaTheme="minorEastAsia"/>
              <w:noProof/>
            </w:rPr>
          </w:pPr>
          <w:hyperlink w:anchor="_Toc11494041" w:history="1">
            <w:r w:rsidR="00B8607B" w:rsidRPr="00CD337F">
              <w:rPr>
                <w:rStyle w:val="Hyperlink"/>
                <w:rFonts w:ascii="Candara" w:hAnsi="Candara"/>
                <w:b/>
                <w:noProof/>
              </w:rPr>
              <w:t>2.10.</w:t>
            </w:r>
            <w:r w:rsidR="00B8607B">
              <w:rPr>
                <w:rFonts w:eastAsiaTheme="minorEastAsia"/>
                <w:noProof/>
              </w:rPr>
              <w:tab/>
            </w:r>
            <w:r w:rsidR="00B8607B" w:rsidRPr="00CD337F">
              <w:rPr>
                <w:rStyle w:val="Hyperlink"/>
                <w:rFonts w:ascii="Candara" w:hAnsi="Candara"/>
                <w:b/>
                <w:noProof/>
              </w:rPr>
              <w:t>Essential medicines</w:t>
            </w:r>
            <w:r w:rsidR="00B8607B">
              <w:rPr>
                <w:noProof/>
                <w:webHidden/>
              </w:rPr>
              <w:tab/>
            </w:r>
            <w:r w:rsidR="00B8607B">
              <w:rPr>
                <w:noProof/>
                <w:webHidden/>
              </w:rPr>
              <w:fldChar w:fldCharType="begin"/>
            </w:r>
            <w:r w:rsidR="00B8607B">
              <w:rPr>
                <w:noProof/>
                <w:webHidden/>
              </w:rPr>
              <w:instrText xml:space="preserve"> PAGEREF _Toc11494041 \h </w:instrText>
            </w:r>
            <w:r w:rsidR="00B8607B">
              <w:rPr>
                <w:noProof/>
                <w:webHidden/>
              </w:rPr>
            </w:r>
            <w:r w:rsidR="00B8607B">
              <w:rPr>
                <w:noProof/>
                <w:webHidden/>
              </w:rPr>
              <w:fldChar w:fldCharType="separate"/>
            </w:r>
            <w:r w:rsidR="001A57C0">
              <w:rPr>
                <w:noProof/>
                <w:webHidden/>
              </w:rPr>
              <w:t>24</w:t>
            </w:r>
            <w:r w:rsidR="00B8607B">
              <w:rPr>
                <w:noProof/>
                <w:webHidden/>
              </w:rPr>
              <w:fldChar w:fldCharType="end"/>
            </w:r>
          </w:hyperlink>
        </w:p>
        <w:p w14:paraId="1FEBFC1C" w14:textId="45DCC048" w:rsidR="00B8607B" w:rsidRDefault="00225302">
          <w:pPr>
            <w:pStyle w:val="TOC2"/>
            <w:tabs>
              <w:tab w:val="left" w:pos="880"/>
              <w:tab w:val="right" w:leader="dot" w:pos="9016"/>
            </w:tabs>
            <w:rPr>
              <w:rFonts w:eastAsiaTheme="minorEastAsia"/>
              <w:noProof/>
            </w:rPr>
          </w:pPr>
          <w:hyperlink w:anchor="_Toc11494042" w:history="1">
            <w:r w:rsidR="00B8607B" w:rsidRPr="00CD337F">
              <w:rPr>
                <w:rStyle w:val="Hyperlink"/>
                <w:rFonts w:ascii="Candara" w:hAnsi="Candara"/>
                <w:b/>
                <w:noProof/>
              </w:rPr>
              <w:t>2.11.</w:t>
            </w:r>
            <w:r w:rsidR="00B8607B">
              <w:rPr>
                <w:rFonts w:eastAsiaTheme="minorEastAsia"/>
                <w:noProof/>
              </w:rPr>
              <w:tab/>
            </w:r>
            <w:r w:rsidR="00B8607B" w:rsidRPr="00CD337F">
              <w:rPr>
                <w:rStyle w:val="Hyperlink"/>
                <w:rFonts w:ascii="Candara" w:hAnsi="Candara"/>
                <w:b/>
                <w:noProof/>
              </w:rPr>
              <w:t>Antenatal Care services (ANC)</w:t>
            </w:r>
            <w:r w:rsidR="00B8607B">
              <w:rPr>
                <w:noProof/>
                <w:webHidden/>
              </w:rPr>
              <w:tab/>
            </w:r>
            <w:r w:rsidR="00B8607B">
              <w:rPr>
                <w:noProof/>
                <w:webHidden/>
              </w:rPr>
              <w:fldChar w:fldCharType="begin"/>
            </w:r>
            <w:r w:rsidR="00B8607B">
              <w:rPr>
                <w:noProof/>
                <w:webHidden/>
              </w:rPr>
              <w:instrText xml:space="preserve"> PAGEREF _Toc11494042 \h </w:instrText>
            </w:r>
            <w:r w:rsidR="00B8607B">
              <w:rPr>
                <w:noProof/>
                <w:webHidden/>
              </w:rPr>
            </w:r>
            <w:r w:rsidR="00B8607B">
              <w:rPr>
                <w:noProof/>
                <w:webHidden/>
              </w:rPr>
              <w:fldChar w:fldCharType="separate"/>
            </w:r>
            <w:r w:rsidR="001A57C0">
              <w:rPr>
                <w:noProof/>
                <w:webHidden/>
              </w:rPr>
              <w:t>26</w:t>
            </w:r>
            <w:r w:rsidR="00B8607B">
              <w:rPr>
                <w:noProof/>
                <w:webHidden/>
              </w:rPr>
              <w:fldChar w:fldCharType="end"/>
            </w:r>
          </w:hyperlink>
        </w:p>
        <w:p w14:paraId="3B33723F" w14:textId="089DE45B" w:rsidR="00B8607B" w:rsidRDefault="00225302">
          <w:pPr>
            <w:pStyle w:val="TOC2"/>
            <w:tabs>
              <w:tab w:val="left" w:pos="880"/>
              <w:tab w:val="right" w:leader="dot" w:pos="9016"/>
            </w:tabs>
            <w:rPr>
              <w:rFonts w:eastAsiaTheme="minorEastAsia"/>
              <w:noProof/>
            </w:rPr>
          </w:pPr>
          <w:hyperlink w:anchor="_Toc11494043" w:history="1">
            <w:r w:rsidR="00B8607B" w:rsidRPr="00CD337F">
              <w:rPr>
                <w:rStyle w:val="Hyperlink"/>
                <w:rFonts w:ascii="Candara" w:hAnsi="Candara"/>
                <w:b/>
                <w:noProof/>
              </w:rPr>
              <w:t>2.12.</w:t>
            </w:r>
            <w:r w:rsidR="00B8607B">
              <w:rPr>
                <w:rFonts w:eastAsiaTheme="minorEastAsia"/>
                <w:noProof/>
              </w:rPr>
              <w:tab/>
            </w:r>
            <w:r w:rsidR="00B8607B" w:rsidRPr="00CD337F">
              <w:rPr>
                <w:rStyle w:val="Hyperlink"/>
                <w:rFonts w:ascii="Candara" w:hAnsi="Candara"/>
                <w:b/>
                <w:noProof/>
              </w:rPr>
              <w:t>Elimination of Mother-To-Child Transmission of HIV (eMTCT)</w:t>
            </w:r>
            <w:r w:rsidR="00B8607B">
              <w:rPr>
                <w:noProof/>
                <w:webHidden/>
              </w:rPr>
              <w:tab/>
            </w:r>
            <w:r w:rsidR="00B8607B">
              <w:rPr>
                <w:noProof/>
                <w:webHidden/>
              </w:rPr>
              <w:fldChar w:fldCharType="begin"/>
            </w:r>
            <w:r w:rsidR="00B8607B">
              <w:rPr>
                <w:noProof/>
                <w:webHidden/>
              </w:rPr>
              <w:instrText xml:space="preserve"> PAGEREF _Toc11494043 \h </w:instrText>
            </w:r>
            <w:r w:rsidR="00B8607B">
              <w:rPr>
                <w:noProof/>
                <w:webHidden/>
              </w:rPr>
            </w:r>
            <w:r w:rsidR="00B8607B">
              <w:rPr>
                <w:noProof/>
                <w:webHidden/>
              </w:rPr>
              <w:fldChar w:fldCharType="separate"/>
            </w:r>
            <w:r w:rsidR="001A57C0">
              <w:rPr>
                <w:noProof/>
                <w:webHidden/>
              </w:rPr>
              <w:t>28</w:t>
            </w:r>
            <w:r w:rsidR="00B8607B">
              <w:rPr>
                <w:noProof/>
                <w:webHidden/>
              </w:rPr>
              <w:fldChar w:fldCharType="end"/>
            </w:r>
          </w:hyperlink>
        </w:p>
        <w:p w14:paraId="3FB2BDF1" w14:textId="4EC82FAC" w:rsidR="00B8607B" w:rsidRDefault="00225302">
          <w:pPr>
            <w:pStyle w:val="TOC2"/>
            <w:tabs>
              <w:tab w:val="left" w:pos="880"/>
              <w:tab w:val="right" w:leader="dot" w:pos="9016"/>
            </w:tabs>
            <w:rPr>
              <w:rFonts w:eastAsiaTheme="minorEastAsia"/>
              <w:noProof/>
            </w:rPr>
          </w:pPr>
          <w:hyperlink w:anchor="_Toc11494044" w:history="1">
            <w:r w:rsidR="00B8607B" w:rsidRPr="00CD337F">
              <w:rPr>
                <w:rStyle w:val="Hyperlink"/>
                <w:rFonts w:ascii="Candara" w:hAnsi="Candara"/>
                <w:b/>
                <w:noProof/>
              </w:rPr>
              <w:t>2.13.</w:t>
            </w:r>
            <w:r w:rsidR="00B8607B">
              <w:rPr>
                <w:rFonts w:eastAsiaTheme="minorEastAsia"/>
                <w:noProof/>
              </w:rPr>
              <w:tab/>
            </w:r>
            <w:r w:rsidR="00B8607B" w:rsidRPr="00CD337F">
              <w:rPr>
                <w:rStyle w:val="Hyperlink"/>
                <w:rFonts w:ascii="Candara" w:hAnsi="Candara"/>
                <w:b/>
                <w:noProof/>
              </w:rPr>
              <w:t>HIV and ART</w:t>
            </w:r>
            <w:r w:rsidR="00B8607B">
              <w:rPr>
                <w:noProof/>
                <w:webHidden/>
              </w:rPr>
              <w:tab/>
            </w:r>
            <w:r w:rsidR="00B8607B">
              <w:rPr>
                <w:noProof/>
                <w:webHidden/>
              </w:rPr>
              <w:fldChar w:fldCharType="begin"/>
            </w:r>
            <w:r w:rsidR="00B8607B">
              <w:rPr>
                <w:noProof/>
                <w:webHidden/>
              </w:rPr>
              <w:instrText xml:space="preserve"> PAGEREF _Toc11494044 \h </w:instrText>
            </w:r>
            <w:r w:rsidR="00B8607B">
              <w:rPr>
                <w:noProof/>
                <w:webHidden/>
              </w:rPr>
            </w:r>
            <w:r w:rsidR="00B8607B">
              <w:rPr>
                <w:noProof/>
                <w:webHidden/>
              </w:rPr>
              <w:fldChar w:fldCharType="separate"/>
            </w:r>
            <w:r w:rsidR="001A57C0">
              <w:rPr>
                <w:noProof/>
                <w:webHidden/>
              </w:rPr>
              <w:t>30</w:t>
            </w:r>
            <w:r w:rsidR="00B8607B">
              <w:rPr>
                <w:noProof/>
                <w:webHidden/>
              </w:rPr>
              <w:fldChar w:fldCharType="end"/>
            </w:r>
          </w:hyperlink>
        </w:p>
        <w:p w14:paraId="472DA556" w14:textId="6BFA9ABA" w:rsidR="00B8607B" w:rsidRDefault="00225302">
          <w:pPr>
            <w:pStyle w:val="TOC2"/>
            <w:tabs>
              <w:tab w:val="left" w:pos="880"/>
              <w:tab w:val="right" w:leader="dot" w:pos="9016"/>
            </w:tabs>
            <w:rPr>
              <w:rFonts w:eastAsiaTheme="minorEastAsia"/>
              <w:noProof/>
            </w:rPr>
          </w:pPr>
          <w:hyperlink w:anchor="_Toc11494045" w:history="1">
            <w:r w:rsidR="00B8607B" w:rsidRPr="00CD337F">
              <w:rPr>
                <w:rStyle w:val="Hyperlink"/>
                <w:rFonts w:ascii="Candara" w:hAnsi="Candara"/>
                <w:b/>
                <w:noProof/>
              </w:rPr>
              <w:t>2.14.</w:t>
            </w:r>
            <w:r w:rsidR="00B8607B">
              <w:rPr>
                <w:rFonts w:eastAsiaTheme="minorEastAsia"/>
                <w:noProof/>
              </w:rPr>
              <w:tab/>
            </w:r>
            <w:r w:rsidR="00B8607B" w:rsidRPr="00CD337F">
              <w:rPr>
                <w:rStyle w:val="Hyperlink"/>
                <w:rFonts w:ascii="Candara" w:hAnsi="Candara"/>
                <w:b/>
                <w:noProof/>
              </w:rPr>
              <w:t>Surgical services availability and Readiness</w:t>
            </w:r>
            <w:r w:rsidR="00B8607B">
              <w:rPr>
                <w:noProof/>
                <w:webHidden/>
              </w:rPr>
              <w:tab/>
            </w:r>
            <w:r w:rsidR="00B8607B">
              <w:rPr>
                <w:noProof/>
                <w:webHidden/>
              </w:rPr>
              <w:fldChar w:fldCharType="begin"/>
            </w:r>
            <w:r w:rsidR="00B8607B">
              <w:rPr>
                <w:noProof/>
                <w:webHidden/>
              </w:rPr>
              <w:instrText xml:space="preserve"> PAGEREF _Toc11494045 \h </w:instrText>
            </w:r>
            <w:r w:rsidR="00B8607B">
              <w:rPr>
                <w:noProof/>
                <w:webHidden/>
              </w:rPr>
            </w:r>
            <w:r w:rsidR="00B8607B">
              <w:rPr>
                <w:noProof/>
                <w:webHidden/>
              </w:rPr>
              <w:fldChar w:fldCharType="separate"/>
            </w:r>
            <w:r w:rsidR="001A57C0">
              <w:rPr>
                <w:noProof/>
                <w:webHidden/>
              </w:rPr>
              <w:t>33</w:t>
            </w:r>
            <w:r w:rsidR="00B8607B">
              <w:rPr>
                <w:noProof/>
                <w:webHidden/>
              </w:rPr>
              <w:fldChar w:fldCharType="end"/>
            </w:r>
          </w:hyperlink>
        </w:p>
        <w:p w14:paraId="3D2CA577" w14:textId="37709A45" w:rsidR="00B8607B" w:rsidRDefault="00225302">
          <w:pPr>
            <w:pStyle w:val="TOC2"/>
            <w:tabs>
              <w:tab w:val="left" w:pos="880"/>
              <w:tab w:val="right" w:leader="dot" w:pos="9016"/>
            </w:tabs>
            <w:rPr>
              <w:rFonts w:eastAsiaTheme="minorEastAsia"/>
              <w:noProof/>
            </w:rPr>
          </w:pPr>
          <w:hyperlink w:anchor="_Toc11494046" w:history="1">
            <w:r w:rsidR="00B8607B" w:rsidRPr="00CD337F">
              <w:rPr>
                <w:rStyle w:val="Hyperlink"/>
                <w:rFonts w:ascii="Candara" w:hAnsi="Candara"/>
                <w:b/>
                <w:noProof/>
              </w:rPr>
              <w:t>2.15.</w:t>
            </w:r>
            <w:r w:rsidR="00B8607B">
              <w:rPr>
                <w:rFonts w:eastAsiaTheme="minorEastAsia"/>
                <w:noProof/>
              </w:rPr>
              <w:tab/>
            </w:r>
            <w:r w:rsidR="00B8607B" w:rsidRPr="00CD337F">
              <w:rPr>
                <w:rStyle w:val="Hyperlink"/>
                <w:rFonts w:ascii="Candara" w:hAnsi="Candara"/>
                <w:b/>
                <w:noProof/>
              </w:rPr>
              <w:t>Malaria</w:t>
            </w:r>
            <w:r w:rsidR="00B8607B">
              <w:rPr>
                <w:noProof/>
                <w:webHidden/>
              </w:rPr>
              <w:tab/>
            </w:r>
            <w:r w:rsidR="00B8607B">
              <w:rPr>
                <w:noProof/>
                <w:webHidden/>
              </w:rPr>
              <w:fldChar w:fldCharType="begin"/>
            </w:r>
            <w:r w:rsidR="00B8607B">
              <w:rPr>
                <w:noProof/>
                <w:webHidden/>
              </w:rPr>
              <w:instrText xml:space="preserve"> PAGEREF _Toc11494046 \h </w:instrText>
            </w:r>
            <w:r w:rsidR="00B8607B">
              <w:rPr>
                <w:noProof/>
                <w:webHidden/>
              </w:rPr>
            </w:r>
            <w:r w:rsidR="00B8607B">
              <w:rPr>
                <w:noProof/>
                <w:webHidden/>
              </w:rPr>
              <w:fldChar w:fldCharType="separate"/>
            </w:r>
            <w:r w:rsidR="001A57C0">
              <w:rPr>
                <w:noProof/>
                <w:webHidden/>
              </w:rPr>
              <w:t>37</w:t>
            </w:r>
            <w:r w:rsidR="00B8607B">
              <w:rPr>
                <w:noProof/>
                <w:webHidden/>
              </w:rPr>
              <w:fldChar w:fldCharType="end"/>
            </w:r>
          </w:hyperlink>
        </w:p>
        <w:p w14:paraId="74D49C2C" w14:textId="711F23BD" w:rsidR="00B8607B" w:rsidRDefault="00225302">
          <w:pPr>
            <w:pStyle w:val="TOC2"/>
            <w:tabs>
              <w:tab w:val="left" w:pos="880"/>
              <w:tab w:val="right" w:leader="dot" w:pos="9016"/>
            </w:tabs>
            <w:rPr>
              <w:rFonts w:eastAsiaTheme="minorEastAsia"/>
              <w:noProof/>
            </w:rPr>
          </w:pPr>
          <w:hyperlink w:anchor="_Toc11494047" w:history="1">
            <w:r w:rsidR="00B8607B" w:rsidRPr="00CD337F">
              <w:rPr>
                <w:rStyle w:val="Hyperlink"/>
                <w:rFonts w:ascii="Candara" w:hAnsi="Candara"/>
                <w:b/>
                <w:noProof/>
              </w:rPr>
              <w:t>2.16.</w:t>
            </w:r>
            <w:r w:rsidR="00B8607B">
              <w:rPr>
                <w:rFonts w:eastAsiaTheme="minorEastAsia"/>
                <w:noProof/>
              </w:rPr>
              <w:tab/>
            </w:r>
            <w:r w:rsidR="00B8607B" w:rsidRPr="00CD337F">
              <w:rPr>
                <w:rStyle w:val="Hyperlink"/>
                <w:rFonts w:ascii="Candara" w:hAnsi="Candara"/>
                <w:b/>
                <w:noProof/>
              </w:rPr>
              <w:t>Family Planning Services</w:t>
            </w:r>
            <w:r w:rsidR="00B8607B">
              <w:rPr>
                <w:noProof/>
                <w:webHidden/>
              </w:rPr>
              <w:tab/>
            </w:r>
            <w:r w:rsidR="00B8607B">
              <w:rPr>
                <w:noProof/>
                <w:webHidden/>
              </w:rPr>
              <w:fldChar w:fldCharType="begin"/>
            </w:r>
            <w:r w:rsidR="00B8607B">
              <w:rPr>
                <w:noProof/>
                <w:webHidden/>
              </w:rPr>
              <w:instrText xml:space="preserve"> PAGEREF _Toc11494047 \h </w:instrText>
            </w:r>
            <w:r w:rsidR="00B8607B">
              <w:rPr>
                <w:noProof/>
                <w:webHidden/>
              </w:rPr>
            </w:r>
            <w:r w:rsidR="00B8607B">
              <w:rPr>
                <w:noProof/>
                <w:webHidden/>
              </w:rPr>
              <w:fldChar w:fldCharType="separate"/>
            </w:r>
            <w:r w:rsidR="001A57C0">
              <w:rPr>
                <w:noProof/>
                <w:webHidden/>
              </w:rPr>
              <w:t>40</w:t>
            </w:r>
            <w:r w:rsidR="00B8607B">
              <w:rPr>
                <w:noProof/>
                <w:webHidden/>
              </w:rPr>
              <w:fldChar w:fldCharType="end"/>
            </w:r>
          </w:hyperlink>
        </w:p>
        <w:p w14:paraId="1B782AF0" w14:textId="03591B0F" w:rsidR="00B8607B" w:rsidRDefault="00225302">
          <w:pPr>
            <w:pStyle w:val="TOC2"/>
            <w:tabs>
              <w:tab w:val="left" w:pos="880"/>
              <w:tab w:val="right" w:leader="dot" w:pos="9016"/>
            </w:tabs>
            <w:rPr>
              <w:rFonts w:eastAsiaTheme="minorEastAsia"/>
              <w:noProof/>
            </w:rPr>
          </w:pPr>
          <w:hyperlink w:anchor="_Toc11494048" w:history="1">
            <w:r w:rsidR="00B8607B" w:rsidRPr="00CD337F">
              <w:rPr>
                <w:rStyle w:val="Hyperlink"/>
                <w:rFonts w:ascii="Candara" w:hAnsi="Candara"/>
                <w:b/>
                <w:noProof/>
              </w:rPr>
              <w:t>2.17.</w:t>
            </w:r>
            <w:r w:rsidR="00B8607B">
              <w:rPr>
                <w:rFonts w:eastAsiaTheme="minorEastAsia"/>
                <w:noProof/>
              </w:rPr>
              <w:tab/>
            </w:r>
            <w:r w:rsidR="00B8607B" w:rsidRPr="00CD337F">
              <w:rPr>
                <w:rStyle w:val="Hyperlink"/>
                <w:rFonts w:ascii="Candara" w:hAnsi="Candara"/>
                <w:b/>
                <w:noProof/>
              </w:rPr>
              <w:t>Readiness for Family Planning Services</w:t>
            </w:r>
            <w:r w:rsidR="00B8607B">
              <w:rPr>
                <w:noProof/>
                <w:webHidden/>
              </w:rPr>
              <w:tab/>
            </w:r>
            <w:r w:rsidR="00B8607B">
              <w:rPr>
                <w:noProof/>
                <w:webHidden/>
              </w:rPr>
              <w:fldChar w:fldCharType="begin"/>
            </w:r>
            <w:r w:rsidR="00B8607B">
              <w:rPr>
                <w:noProof/>
                <w:webHidden/>
              </w:rPr>
              <w:instrText xml:space="preserve"> PAGEREF _Toc11494048 \h </w:instrText>
            </w:r>
            <w:r w:rsidR="00B8607B">
              <w:rPr>
                <w:noProof/>
                <w:webHidden/>
              </w:rPr>
            </w:r>
            <w:r w:rsidR="00B8607B">
              <w:rPr>
                <w:noProof/>
                <w:webHidden/>
              </w:rPr>
              <w:fldChar w:fldCharType="separate"/>
            </w:r>
            <w:r w:rsidR="001A57C0">
              <w:rPr>
                <w:noProof/>
                <w:webHidden/>
              </w:rPr>
              <w:t>42</w:t>
            </w:r>
            <w:r w:rsidR="00B8607B">
              <w:rPr>
                <w:noProof/>
                <w:webHidden/>
              </w:rPr>
              <w:fldChar w:fldCharType="end"/>
            </w:r>
          </w:hyperlink>
        </w:p>
        <w:p w14:paraId="6C1402D7" w14:textId="35026332" w:rsidR="00B8607B" w:rsidRDefault="00225302">
          <w:pPr>
            <w:pStyle w:val="TOC2"/>
            <w:tabs>
              <w:tab w:val="left" w:pos="880"/>
              <w:tab w:val="right" w:leader="dot" w:pos="9016"/>
            </w:tabs>
            <w:rPr>
              <w:rFonts w:eastAsiaTheme="minorEastAsia"/>
              <w:noProof/>
            </w:rPr>
          </w:pPr>
          <w:hyperlink w:anchor="_Toc11494049" w:history="1">
            <w:r w:rsidR="00B8607B" w:rsidRPr="00CD337F">
              <w:rPr>
                <w:rStyle w:val="Hyperlink"/>
                <w:rFonts w:ascii="Candara" w:hAnsi="Candara"/>
                <w:b/>
                <w:noProof/>
              </w:rPr>
              <w:t>2.18.</w:t>
            </w:r>
            <w:r w:rsidR="00B8607B">
              <w:rPr>
                <w:rFonts w:eastAsiaTheme="minorEastAsia"/>
                <w:noProof/>
              </w:rPr>
              <w:tab/>
            </w:r>
            <w:r w:rsidR="00B8607B" w:rsidRPr="00CD337F">
              <w:rPr>
                <w:rStyle w:val="Hyperlink"/>
                <w:rFonts w:ascii="Candara" w:hAnsi="Candara"/>
                <w:b/>
                <w:noProof/>
              </w:rPr>
              <w:t>Non-Communicable Diseases</w:t>
            </w:r>
            <w:r w:rsidR="00B8607B">
              <w:rPr>
                <w:noProof/>
                <w:webHidden/>
              </w:rPr>
              <w:tab/>
            </w:r>
            <w:r w:rsidR="00B8607B">
              <w:rPr>
                <w:noProof/>
                <w:webHidden/>
              </w:rPr>
              <w:fldChar w:fldCharType="begin"/>
            </w:r>
            <w:r w:rsidR="00B8607B">
              <w:rPr>
                <w:noProof/>
                <w:webHidden/>
              </w:rPr>
              <w:instrText xml:space="preserve"> PAGEREF _Toc11494049 \h </w:instrText>
            </w:r>
            <w:r w:rsidR="00B8607B">
              <w:rPr>
                <w:noProof/>
                <w:webHidden/>
              </w:rPr>
            </w:r>
            <w:r w:rsidR="00B8607B">
              <w:rPr>
                <w:noProof/>
                <w:webHidden/>
              </w:rPr>
              <w:fldChar w:fldCharType="separate"/>
            </w:r>
            <w:r w:rsidR="001A57C0">
              <w:rPr>
                <w:noProof/>
                <w:webHidden/>
              </w:rPr>
              <w:t>44</w:t>
            </w:r>
            <w:r w:rsidR="00B8607B">
              <w:rPr>
                <w:noProof/>
                <w:webHidden/>
              </w:rPr>
              <w:fldChar w:fldCharType="end"/>
            </w:r>
          </w:hyperlink>
        </w:p>
        <w:p w14:paraId="56BDE126" w14:textId="3358637B" w:rsidR="00B8607B" w:rsidRDefault="00225302">
          <w:pPr>
            <w:pStyle w:val="TOC2"/>
            <w:tabs>
              <w:tab w:val="left" w:pos="880"/>
              <w:tab w:val="right" w:leader="dot" w:pos="9016"/>
            </w:tabs>
            <w:rPr>
              <w:rFonts w:eastAsiaTheme="minorEastAsia"/>
              <w:noProof/>
            </w:rPr>
          </w:pPr>
          <w:hyperlink w:anchor="_Toc11494050" w:history="1">
            <w:r w:rsidR="00B8607B" w:rsidRPr="00CD337F">
              <w:rPr>
                <w:rStyle w:val="Hyperlink"/>
                <w:rFonts w:ascii="Candara" w:hAnsi="Candara"/>
                <w:b/>
                <w:noProof/>
              </w:rPr>
              <w:t>2.19.</w:t>
            </w:r>
            <w:r w:rsidR="00B8607B">
              <w:rPr>
                <w:rFonts w:eastAsiaTheme="minorEastAsia"/>
                <w:noProof/>
              </w:rPr>
              <w:tab/>
            </w:r>
            <w:r w:rsidR="00B8607B" w:rsidRPr="00CD337F">
              <w:rPr>
                <w:rStyle w:val="Hyperlink"/>
                <w:rFonts w:ascii="Candara" w:hAnsi="Candara"/>
                <w:b/>
                <w:noProof/>
              </w:rPr>
              <w:t>Readiness to provide components under NCD Services</w:t>
            </w:r>
            <w:r w:rsidR="00B8607B">
              <w:rPr>
                <w:noProof/>
                <w:webHidden/>
              </w:rPr>
              <w:tab/>
            </w:r>
            <w:r w:rsidR="00B8607B">
              <w:rPr>
                <w:noProof/>
                <w:webHidden/>
              </w:rPr>
              <w:fldChar w:fldCharType="begin"/>
            </w:r>
            <w:r w:rsidR="00B8607B">
              <w:rPr>
                <w:noProof/>
                <w:webHidden/>
              </w:rPr>
              <w:instrText xml:space="preserve"> PAGEREF _Toc11494050 \h </w:instrText>
            </w:r>
            <w:r w:rsidR="00B8607B">
              <w:rPr>
                <w:noProof/>
                <w:webHidden/>
              </w:rPr>
            </w:r>
            <w:r w:rsidR="00B8607B">
              <w:rPr>
                <w:noProof/>
                <w:webHidden/>
              </w:rPr>
              <w:fldChar w:fldCharType="separate"/>
            </w:r>
            <w:r w:rsidR="001A57C0">
              <w:rPr>
                <w:noProof/>
                <w:webHidden/>
              </w:rPr>
              <w:t>48</w:t>
            </w:r>
            <w:r w:rsidR="00B8607B">
              <w:rPr>
                <w:noProof/>
                <w:webHidden/>
              </w:rPr>
              <w:fldChar w:fldCharType="end"/>
            </w:r>
          </w:hyperlink>
        </w:p>
        <w:p w14:paraId="4D735023" w14:textId="0497584D" w:rsidR="00B8607B" w:rsidRDefault="00225302">
          <w:pPr>
            <w:pStyle w:val="TOC2"/>
            <w:tabs>
              <w:tab w:val="left" w:pos="880"/>
              <w:tab w:val="right" w:leader="dot" w:pos="9016"/>
            </w:tabs>
            <w:rPr>
              <w:rFonts w:eastAsiaTheme="minorEastAsia"/>
              <w:noProof/>
            </w:rPr>
          </w:pPr>
          <w:hyperlink w:anchor="_Toc11494051" w:history="1">
            <w:r w:rsidR="00B8607B" w:rsidRPr="00CD337F">
              <w:rPr>
                <w:rStyle w:val="Hyperlink"/>
                <w:rFonts w:ascii="Candara" w:hAnsi="Candara"/>
                <w:b/>
                <w:noProof/>
              </w:rPr>
              <w:t>2.20.</w:t>
            </w:r>
            <w:r w:rsidR="00B8607B">
              <w:rPr>
                <w:rFonts w:eastAsiaTheme="minorEastAsia"/>
                <w:noProof/>
              </w:rPr>
              <w:tab/>
            </w:r>
            <w:r w:rsidR="00B8607B" w:rsidRPr="00CD337F">
              <w:rPr>
                <w:rStyle w:val="Hyperlink"/>
                <w:rFonts w:ascii="Candara" w:hAnsi="Candara"/>
                <w:b/>
                <w:noProof/>
              </w:rPr>
              <w:t>Tuberculosis</w:t>
            </w:r>
            <w:r w:rsidR="00B8607B">
              <w:rPr>
                <w:noProof/>
                <w:webHidden/>
              </w:rPr>
              <w:tab/>
            </w:r>
            <w:r w:rsidR="00B8607B">
              <w:rPr>
                <w:noProof/>
                <w:webHidden/>
              </w:rPr>
              <w:fldChar w:fldCharType="begin"/>
            </w:r>
            <w:r w:rsidR="00B8607B">
              <w:rPr>
                <w:noProof/>
                <w:webHidden/>
              </w:rPr>
              <w:instrText xml:space="preserve"> PAGEREF _Toc11494051 \h </w:instrText>
            </w:r>
            <w:r w:rsidR="00B8607B">
              <w:rPr>
                <w:noProof/>
                <w:webHidden/>
              </w:rPr>
            </w:r>
            <w:r w:rsidR="00B8607B">
              <w:rPr>
                <w:noProof/>
                <w:webHidden/>
              </w:rPr>
              <w:fldChar w:fldCharType="separate"/>
            </w:r>
            <w:r w:rsidR="001A57C0">
              <w:rPr>
                <w:noProof/>
                <w:webHidden/>
              </w:rPr>
              <w:t>56</w:t>
            </w:r>
            <w:r w:rsidR="00B8607B">
              <w:rPr>
                <w:noProof/>
                <w:webHidden/>
              </w:rPr>
              <w:fldChar w:fldCharType="end"/>
            </w:r>
          </w:hyperlink>
        </w:p>
        <w:p w14:paraId="5BD626AE" w14:textId="0AAC6F9E" w:rsidR="00B8607B" w:rsidRDefault="00225302">
          <w:pPr>
            <w:pStyle w:val="TOC2"/>
            <w:tabs>
              <w:tab w:val="left" w:pos="880"/>
              <w:tab w:val="right" w:leader="dot" w:pos="9016"/>
            </w:tabs>
            <w:rPr>
              <w:rFonts w:eastAsiaTheme="minorEastAsia"/>
              <w:noProof/>
            </w:rPr>
          </w:pPr>
          <w:hyperlink w:anchor="_Toc11494052" w:history="1">
            <w:r w:rsidR="00B8607B" w:rsidRPr="00CD337F">
              <w:rPr>
                <w:rStyle w:val="Hyperlink"/>
                <w:rFonts w:ascii="Candara" w:hAnsi="Candara"/>
                <w:b/>
                <w:noProof/>
              </w:rPr>
              <w:t>2.21.</w:t>
            </w:r>
            <w:r w:rsidR="00B8607B">
              <w:rPr>
                <w:rFonts w:eastAsiaTheme="minorEastAsia"/>
                <w:noProof/>
              </w:rPr>
              <w:tab/>
            </w:r>
            <w:r w:rsidR="00B8607B" w:rsidRPr="00CD337F">
              <w:rPr>
                <w:rStyle w:val="Hyperlink"/>
                <w:rFonts w:ascii="Candara" w:hAnsi="Candara"/>
                <w:b/>
                <w:noProof/>
              </w:rPr>
              <w:t>Essential Medicines for Children</w:t>
            </w:r>
            <w:r w:rsidR="00B8607B">
              <w:rPr>
                <w:noProof/>
                <w:webHidden/>
              </w:rPr>
              <w:tab/>
            </w:r>
            <w:r w:rsidR="00B8607B">
              <w:rPr>
                <w:noProof/>
                <w:webHidden/>
              </w:rPr>
              <w:fldChar w:fldCharType="begin"/>
            </w:r>
            <w:r w:rsidR="00B8607B">
              <w:rPr>
                <w:noProof/>
                <w:webHidden/>
              </w:rPr>
              <w:instrText xml:space="preserve"> PAGEREF _Toc11494052 \h </w:instrText>
            </w:r>
            <w:r w:rsidR="00B8607B">
              <w:rPr>
                <w:noProof/>
                <w:webHidden/>
              </w:rPr>
            </w:r>
            <w:r w:rsidR="00B8607B">
              <w:rPr>
                <w:noProof/>
                <w:webHidden/>
              </w:rPr>
              <w:fldChar w:fldCharType="separate"/>
            </w:r>
            <w:r w:rsidR="001A57C0">
              <w:rPr>
                <w:noProof/>
                <w:webHidden/>
              </w:rPr>
              <w:t>58</w:t>
            </w:r>
            <w:r w:rsidR="00B8607B">
              <w:rPr>
                <w:noProof/>
                <w:webHidden/>
              </w:rPr>
              <w:fldChar w:fldCharType="end"/>
            </w:r>
          </w:hyperlink>
        </w:p>
        <w:p w14:paraId="4196C47E" w14:textId="5DB94D05" w:rsidR="00B8607B" w:rsidRDefault="00225302">
          <w:pPr>
            <w:pStyle w:val="TOC2"/>
            <w:tabs>
              <w:tab w:val="left" w:pos="880"/>
              <w:tab w:val="right" w:leader="dot" w:pos="9016"/>
            </w:tabs>
            <w:rPr>
              <w:rFonts w:eastAsiaTheme="minorEastAsia"/>
              <w:noProof/>
            </w:rPr>
          </w:pPr>
          <w:hyperlink w:anchor="_Toc11494053" w:history="1">
            <w:r w:rsidR="00B8607B" w:rsidRPr="00CD337F">
              <w:rPr>
                <w:rStyle w:val="Hyperlink"/>
                <w:rFonts w:ascii="Candara" w:hAnsi="Candara"/>
                <w:b/>
                <w:noProof/>
              </w:rPr>
              <w:t>2.22.</w:t>
            </w:r>
            <w:r w:rsidR="00B8607B">
              <w:rPr>
                <w:rFonts w:eastAsiaTheme="minorEastAsia"/>
                <w:noProof/>
              </w:rPr>
              <w:tab/>
            </w:r>
            <w:r w:rsidR="00B8607B" w:rsidRPr="00CD337F">
              <w:rPr>
                <w:rStyle w:val="Hyperlink"/>
                <w:rFonts w:ascii="Candara" w:hAnsi="Candara"/>
                <w:b/>
                <w:noProof/>
              </w:rPr>
              <w:t>Essential medicines for malaria</w:t>
            </w:r>
            <w:r w:rsidR="00B8607B">
              <w:rPr>
                <w:noProof/>
                <w:webHidden/>
              </w:rPr>
              <w:tab/>
            </w:r>
            <w:r w:rsidR="00B8607B">
              <w:rPr>
                <w:noProof/>
                <w:webHidden/>
              </w:rPr>
              <w:fldChar w:fldCharType="begin"/>
            </w:r>
            <w:r w:rsidR="00B8607B">
              <w:rPr>
                <w:noProof/>
                <w:webHidden/>
              </w:rPr>
              <w:instrText xml:space="preserve"> PAGEREF _Toc11494053 \h </w:instrText>
            </w:r>
            <w:r w:rsidR="00B8607B">
              <w:rPr>
                <w:noProof/>
                <w:webHidden/>
              </w:rPr>
            </w:r>
            <w:r w:rsidR="00B8607B">
              <w:rPr>
                <w:noProof/>
                <w:webHidden/>
              </w:rPr>
              <w:fldChar w:fldCharType="separate"/>
            </w:r>
            <w:r w:rsidR="001A57C0">
              <w:rPr>
                <w:noProof/>
                <w:webHidden/>
              </w:rPr>
              <w:t>60</w:t>
            </w:r>
            <w:r w:rsidR="00B8607B">
              <w:rPr>
                <w:noProof/>
                <w:webHidden/>
              </w:rPr>
              <w:fldChar w:fldCharType="end"/>
            </w:r>
          </w:hyperlink>
        </w:p>
        <w:p w14:paraId="4FFCE319" w14:textId="4DC68A50" w:rsidR="00B8607B" w:rsidRDefault="00225302">
          <w:pPr>
            <w:pStyle w:val="TOC2"/>
            <w:tabs>
              <w:tab w:val="left" w:pos="880"/>
              <w:tab w:val="right" w:leader="dot" w:pos="9016"/>
            </w:tabs>
            <w:rPr>
              <w:rFonts w:eastAsiaTheme="minorEastAsia"/>
              <w:noProof/>
            </w:rPr>
          </w:pPr>
          <w:hyperlink w:anchor="_Toc11494054" w:history="1">
            <w:r w:rsidR="00B8607B" w:rsidRPr="00CD337F">
              <w:rPr>
                <w:rStyle w:val="Hyperlink"/>
                <w:rFonts w:ascii="Candara" w:hAnsi="Candara"/>
                <w:b/>
                <w:noProof/>
              </w:rPr>
              <w:t>2.23.</w:t>
            </w:r>
            <w:r w:rsidR="00B8607B">
              <w:rPr>
                <w:rFonts w:eastAsiaTheme="minorEastAsia"/>
                <w:noProof/>
              </w:rPr>
              <w:tab/>
            </w:r>
            <w:r w:rsidR="00B8607B" w:rsidRPr="00CD337F">
              <w:rPr>
                <w:rStyle w:val="Hyperlink"/>
                <w:rFonts w:ascii="Candara" w:hAnsi="Candara"/>
                <w:b/>
                <w:noProof/>
              </w:rPr>
              <w:t>Essential medicines for Tuberculosis</w:t>
            </w:r>
            <w:r w:rsidR="00B8607B">
              <w:rPr>
                <w:noProof/>
                <w:webHidden/>
              </w:rPr>
              <w:tab/>
            </w:r>
            <w:r w:rsidR="00B8607B">
              <w:rPr>
                <w:noProof/>
                <w:webHidden/>
              </w:rPr>
              <w:fldChar w:fldCharType="begin"/>
            </w:r>
            <w:r w:rsidR="00B8607B">
              <w:rPr>
                <w:noProof/>
                <w:webHidden/>
              </w:rPr>
              <w:instrText xml:space="preserve"> PAGEREF _Toc11494054 \h </w:instrText>
            </w:r>
            <w:r w:rsidR="00B8607B">
              <w:rPr>
                <w:noProof/>
                <w:webHidden/>
              </w:rPr>
            </w:r>
            <w:r w:rsidR="00B8607B">
              <w:rPr>
                <w:noProof/>
                <w:webHidden/>
              </w:rPr>
              <w:fldChar w:fldCharType="separate"/>
            </w:r>
            <w:r w:rsidR="001A57C0">
              <w:rPr>
                <w:noProof/>
                <w:webHidden/>
              </w:rPr>
              <w:t>63</w:t>
            </w:r>
            <w:r w:rsidR="00B8607B">
              <w:rPr>
                <w:noProof/>
                <w:webHidden/>
              </w:rPr>
              <w:fldChar w:fldCharType="end"/>
            </w:r>
          </w:hyperlink>
        </w:p>
        <w:p w14:paraId="33A1214E" w14:textId="3C44F888" w:rsidR="00B8607B" w:rsidRDefault="00225302">
          <w:pPr>
            <w:pStyle w:val="TOC2"/>
            <w:tabs>
              <w:tab w:val="left" w:pos="1100"/>
              <w:tab w:val="right" w:leader="dot" w:pos="9016"/>
            </w:tabs>
            <w:rPr>
              <w:rFonts w:eastAsiaTheme="minorEastAsia"/>
              <w:noProof/>
            </w:rPr>
          </w:pPr>
          <w:hyperlink w:anchor="_Toc11494055" w:history="1">
            <w:r w:rsidR="00B8607B" w:rsidRPr="00CD337F">
              <w:rPr>
                <w:rStyle w:val="Hyperlink"/>
                <w:rFonts w:ascii="Candara" w:hAnsi="Candara"/>
                <w:b/>
                <w:noProof/>
              </w:rPr>
              <w:t>2.24.</w:t>
            </w:r>
            <w:r w:rsidR="00B8607B">
              <w:rPr>
                <w:rFonts w:eastAsiaTheme="minorEastAsia"/>
                <w:noProof/>
              </w:rPr>
              <w:tab/>
            </w:r>
            <w:r w:rsidR="00B8607B" w:rsidRPr="00CD337F">
              <w:rPr>
                <w:rStyle w:val="Hyperlink"/>
                <w:rFonts w:ascii="Candara" w:hAnsi="Candara"/>
                <w:b/>
                <w:noProof/>
              </w:rPr>
              <w:t>ARV Medicines</w:t>
            </w:r>
            <w:r w:rsidR="00B8607B">
              <w:rPr>
                <w:noProof/>
                <w:webHidden/>
              </w:rPr>
              <w:tab/>
            </w:r>
            <w:r w:rsidR="00B8607B">
              <w:rPr>
                <w:noProof/>
                <w:webHidden/>
              </w:rPr>
              <w:fldChar w:fldCharType="begin"/>
            </w:r>
            <w:r w:rsidR="00B8607B">
              <w:rPr>
                <w:noProof/>
                <w:webHidden/>
              </w:rPr>
              <w:instrText xml:space="preserve"> PAGEREF _Toc11494055 \h </w:instrText>
            </w:r>
            <w:r w:rsidR="00B8607B">
              <w:rPr>
                <w:noProof/>
                <w:webHidden/>
              </w:rPr>
            </w:r>
            <w:r w:rsidR="00B8607B">
              <w:rPr>
                <w:noProof/>
                <w:webHidden/>
              </w:rPr>
              <w:fldChar w:fldCharType="separate"/>
            </w:r>
            <w:r w:rsidR="001A57C0">
              <w:rPr>
                <w:noProof/>
                <w:webHidden/>
              </w:rPr>
              <w:t>64</w:t>
            </w:r>
            <w:r w:rsidR="00B8607B">
              <w:rPr>
                <w:noProof/>
                <w:webHidden/>
              </w:rPr>
              <w:fldChar w:fldCharType="end"/>
            </w:r>
          </w:hyperlink>
        </w:p>
        <w:p w14:paraId="47878467" w14:textId="2A82858D" w:rsidR="00B8607B" w:rsidRDefault="00225302">
          <w:pPr>
            <w:pStyle w:val="TOC2"/>
            <w:tabs>
              <w:tab w:val="left" w:pos="880"/>
              <w:tab w:val="right" w:leader="dot" w:pos="9016"/>
            </w:tabs>
            <w:rPr>
              <w:rFonts w:eastAsiaTheme="minorEastAsia"/>
              <w:noProof/>
            </w:rPr>
          </w:pPr>
          <w:hyperlink w:anchor="_Toc11494056" w:history="1">
            <w:r w:rsidR="00B8607B" w:rsidRPr="00CD337F">
              <w:rPr>
                <w:rStyle w:val="Hyperlink"/>
                <w:rFonts w:ascii="Candara" w:hAnsi="Candara"/>
                <w:b/>
                <w:noProof/>
              </w:rPr>
              <w:t>2.25.</w:t>
            </w:r>
            <w:r w:rsidR="00B8607B">
              <w:rPr>
                <w:rFonts w:eastAsiaTheme="minorEastAsia"/>
                <w:noProof/>
              </w:rPr>
              <w:tab/>
            </w:r>
            <w:r w:rsidR="00B8607B" w:rsidRPr="00CD337F">
              <w:rPr>
                <w:rStyle w:val="Hyperlink"/>
                <w:rFonts w:ascii="Candara" w:hAnsi="Candara"/>
                <w:b/>
                <w:noProof/>
              </w:rPr>
              <w:t>Protease inhibitors</w:t>
            </w:r>
            <w:r w:rsidR="00B8607B">
              <w:rPr>
                <w:noProof/>
                <w:webHidden/>
              </w:rPr>
              <w:tab/>
            </w:r>
            <w:r w:rsidR="00B8607B">
              <w:rPr>
                <w:noProof/>
                <w:webHidden/>
              </w:rPr>
              <w:fldChar w:fldCharType="begin"/>
            </w:r>
            <w:r w:rsidR="00B8607B">
              <w:rPr>
                <w:noProof/>
                <w:webHidden/>
              </w:rPr>
              <w:instrText xml:space="preserve"> PAGEREF _Toc11494056 \h </w:instrText>
            </w:r>
            <w:r w:rsidR="00B8607B">
              <w:rPr>
                <w:noProof/>
                <w:webHidden/>
              </w:rPr>
            </w:r>
            <w:r w:rsidR="00B8607B">
              <w:rPr>
                <w:noProof/>
                <w:webHidden/>
              </w:rPr>
              <w:fldChar w:fldCharType="separate"/>
            </w:r>
            <w:r w:rsidR="001A57C0">
              <w:rPr>
                <w:noProof/>
                <w:webHidden/>
              </w:rPr>
              <w:t>65</w:t>
            </w:r>
            <w:r w:rsidR="00B8607B">
              <w:rPr>
                <w:noProof/>
                <w:webHidden/>
              </w:rPr>
              <w:fldChar w:fldCharType="end"/>
            </w:r>
          </w:hyperlink>
        </w:p>
        <w:p w14:paraId="34EF3FCE" w14:textId="775DCA1D" w:rsidR="00B8607B" w:rsidRDefault="00225302">
          <w:pPr>
            <w:pStyle w:val="TOC2"/>
            <w:tabs>
              <w:tab w:val="left" w:pos="880"/>
              <w:tab w:val="right" w:leader="dot" w:pos="9016"/>
            </w:tabs>
            <w:rPr>
              <w:rFonts w:eastAsiaTheme="minorEastAsia"/>
              <w:noProof/>
            </w:rPr>
          </w:pPr>
          <w:hyperlink w:anchor="_Toc11494057" w:history="1">
            <w:r w:rsidR="00B8607B" w:rsidRPr="00CD337F">
              <w:rPr>
                <w:rStyle w:val="Hyperlink"/>
                <w:rFonts w:ascii="Candara" w:hAnsi="Candara"/>
                <w:b/>
                <w:noProof/>
              </w:rPr>
              <w:t>2.26.</w:t>
            </w:r>
            <w:r w:rsidR="00B8607B">
              <w:rPr>
                <w:rFonts w:eastAsiaTheme="minorEastAsia"/>
                <w:noProof/>
              </w:rPr>
              <w:tab/>
            </w:r>
            <w:r w:rsidR="00B8607B" w:rsidRPr="00CD337F">
              <w:rPr>
                <w:rStyle w:val="Hyperlink"/>
                <w:rFonts w:ascii="Candara" w:hAnsi="Candara"/>
                <w:b/>
                <w:noProof/>
              </w:rPr>
              <w:t>Essential NCD medicines</w:t>
            </w:r>
            <w:r w:rsidR="00B8607B">
              <w:rPr>
                <w:noProof/>
                <w:webHidden/>
              </w:rPr>
              <w:tab/>
            </w:r>
            <w:r w:rsidR="00B8607B">
              <w:rPr>
                <w:noProof/>
                <w:webHidden/>
              </w:rPr>
              <w:fldChar w:fldCharType="begin"/>
            </w:r>
            <w:r w:rsidR="00B8607B">
              <w:rPr>
                <w:noProof/>
                <w:webHidden/>
              </w:rPr>
              <w:instrText xml:space="preserve"> PAGEREF _Toc11494057 \h </w:instrText>
            </w:r>
            <w:r w:rsidR="00B8607B">
              <w:rPr>
                <w:noProof/>
                <w:webHidden/>
              </w:rPr>
            </w:r>
            <w:r w:rsidR="00B8607B">
              <w:rPr>
                <w:noProof/>
                <w:webHidden/>
              </w:rPr>
              <w:fldChar w:fldCharType="separate"/>
            </w:r>
            <w:r w:rsidR="001A57C0">
              <w:rPr>
                <w:noProof/>
                <w:webHidden/>
              </w:rPr>
              <w:t>67</w:t>
            </w:r>
            <w:r w:rsidR="00B8607B">
              <w:rPr>
                <w:noProof/>
                <w:webHidden/>
              </w:rPr>
              <w:fldChar w:fldCharType="end"/>
            </w:r>
          </w:hyperlink>
        </w:p>
        <w:p w14:paraId="596F9A40" w14:textId="2F154460" w:rsidR="00B8607B" w:rsidRDefault="00225302">
          <w:pPr>
            <w:pStyle w:val="TOC2"/>
            <w:tabs>
              <w:tab w:val="left" w:pos="880"/>
              <w:tab w:val="right" w:leader="dot" w:pos="9016"/>
            </w:tabs>
            <w:rPr>
              <w:rFonts w:eastAsiaTheme="minorEastAsia"/>
              <w:noProof/>
            </w:rPr>
          </w:pPr>
          <w:hyperlink w:anchor="_Toc11494058" w:history="1">
            <w:r w:rsidR="00B8607B" w:rsidRPr="00CD337F">
              <w:rPr>
                <w:rStyle w:val="Hyperlink"/>
                <w:rFonts w:ascii="Candara" w:hAnsi="Candara"/>
                <w:b/>
                <w:noProof/>
              </w:rPr>
              <w:t>2.27.</w:t>
            </w:r>
            <w:r w:rsidR="00B8607B">
              <w:rPr>
                <w:rFonts w:eastAsiaTheme="minorEastAsia"/>
                <w:noProof/>
              </w:rPr>
              <w:tab/>
            </w:r>
            <w:r w:rsidR="00B8607B" w:rsidRPr="00CD337F">
              <w:rPr>
                <w:rStyle w:val="Hyperlink"/>
                <w:rFonts w:ascii="Candara" w:hAnsi="Candara"/>
                <w:b/>
                <w:noProof/>
              </w:rPr>
              <w:t>Essential reproductive health medicines</w:t>
            </w:r>
            <w:r w:rsidR="00B8607B">
              <w:rPr>
                <w:noProof/>
                <w:webHidden/>
              </w:rPr>
              <w:tab/>
            </w:r>
            <w:r w:rsidR="00B8607B">
              <w:rPr>
                <w:noProof/>
                <w:webHidden/>
              </w:rPr>
              <w:fldChar w:fldCharType="begin"/>
            </w:r>
            <w:r w:rsidR="00B8607B">
              <w:rPr>
                <w:noProof/>
                <w:webHidden/>
              </w:rPr>
              <w:instrText xml:space="preserve"> PAGEREF _Toc11494058 \h </w:instrText>
            </w:r>
            <w:r w:rsidR="00B8607B">
              <w:rPr>
                <w:noProof/>
                <w:webHidden/>
              </w:rPr>
            </w:r>
            <w:r w:rsidR="00B8607B">
              <w:rPr>
                <w:noProof/>
                <w:webHidden/>
              </w:rPr>
              <w:fldChar w:fldCharType="separate"/>
            </w:r>
            <w:r w:rsidR="001A57C0">
              <w:rPr>
                <w:noProof/>
                <w:webHidden/>
              </w:rPr>
              <w:t>69</w:t>
            </w:r>
            <w:r w:rsidR="00B8607B">
              <w:rPr>
                <w:noProof/>
                <w:webHidden/>
              </w:rPr>
              <w:fldChar w:fldCharType="end"/>
            </w:r>
          </w:hyperlink>
        </w:p>
        <w:p w14:paraId="297D6FFA" w14:textId="648B1D48" w:rsidR="00B8607B" w:rsidRDefault="00225302">
          <w:pPr>
            <w:pStyle w:val="TOC2"/>
            <w:tabs>
              <w:tab w:val="left" w:pos="1100"/>
              <w:tab w:val="right" w:leader="dot" w:pos="9016"/>
            </w:tabs>
            <w:rPr>
              <w:rFonts w:eastAsiaTheme="minorEastAsia"/>
              <w:noProof/>
            </w:rPr>
          </w:pPr>
          <w:hyperlink w:anchor="_Toc11494059" w:history="1">
            <w:r w:rsidR="00B8607B" w:rsidRPr="00CD337F">
              <w:rPr>
                <w:rStyle w:val="Hyperlink"/>
                <w:rFonts w:ascii="Candara" w:hAnsi="Candara"/>
                <w:b/>
                <w:noProof/>
              </w:rPr>
              <w:t>2.28.</w:t>
            </w:r>
            <w:r w:rsidR="00B8607B">
              <w:rPr>
                <w:rFonts w:eastAsiaTheme="minorEastAsia"/>
                <w:noProof/>
              </w:rPr>
              <w:tab/>
            </w:r>
            <w:r w:rsidR="00B8607B" w:rsidRPr="00CD337F">
              <w:rPr>
                <w:rStyle w:val="Hyperlink"/>
                <w:rFonts w:ascii="Candara" w:hAnsi="Candara"/>
                <w:b/>
                <w:noProof/>
              </w:rPr>
              <w:t>Maternal health products</w:t>
            </w:r>
            <w:r w:rsidR="00B8607B">
              <w:rPr>
                <w:noProof/>
                <w:webHidden/>
              </w:rPr>
              <w:tab/>
            </w:r>
            <w:r w:rsidR="00B8607B">
              <w:rPr>
                <w:noProof/>
                <w:webHidden/>
              </w:rPr>
              <w:fldChar w:fldCharType="begin"/>
            </w:r>
            <w:r w:rsidR="00B8607B">
              <w:rPr>
                <w:noProof/>
                <w:webHidden/>
              </w:rPr>
              <w:instrText xml:space="preserve"> PAGEREF _Toc11494059 \h </w:instrText>
            </w:r>
            <w:r w:rsidR="00B8607B">
              <w:rPr>
                <w:noProof/>
                <w:webHidden/>
              </w:rPr>
            </w:r>
            <w:r w:rsidR="00B8607B">
              <w:rPr>
                <w:noProof/>
                <w:webHidden/>
              </w:rPr>
              <w:fldChar w:fldCharType="separate"/>
            </w:r>
            <w:r w:rsidR="001A57C0">
              <w:rPr>
                <w:noProof/>
                <w:webHidden/>
              </w:rPr>
              <w:t>71</w:t>
            </w:r>
            <w:r w:rsidR="00B8607B">
              <w:rPr>
                <w:noProof/>
                <w:webHidden/>
              </w:rPr>
              <w:fldChar w:fldCharType="end"/>
            </w:r>
          </w:hyperlink>
        </w:p>
        <w:p w14:paraId="4C3DA4C8" w14:textId="40D13F73" w:rsidR="00B8607B" w:rsidRDefault="00225302">
          <w:pPr>
            <w:pStyle w:val="TOC2"/>
            <w:tabs>
              <w:tab w:val="left" w:pos="880"/>
              <w:tab w:val="right" w:leader="dot" w:pos="9016"/>
            </w:tabs>
            <w:rPr>
              <w:rFonts w:eastAsiaTheme="minorEastAsia"/>
              <w:noProof/>
            </w:rPr>
          </w:pPr>
          <w:hyperlink w:anchor="_Toc11494060" w:history="1">
            <w:r w:rsidR="00B8607B" w:rsidRPr="00CD337F">
              <w:rPr>
                <w:rStyle w:val="Hyperlink"/>
                <w:rFonts w:ascii="Candara" w:hAnsi="Candara"/>
                <w:b/>
                <w:noProof/>
              </w:rPr>
              <w:t>2.29.</w:t>
            </w:r>
            <w:r w:rsidR="00B8607B">
              <w:rPr>
                <w:rFonts w:eastAsiaTheme="minorEastAsia"/>
                <w:noProof/>
              </w:rPr>
              <w:tab/>
            </w:r>
            <w:r w:rsidR="00B8607B" w:rsidRPr="00CD337F">
              <w:rPr>
                <w:rStyle w:val="Hyperlink"/>
                <w:rFonts w:ascii="Candara" w:hAnsi="Candara"/>
                <w:b/>
                <w:noProof/>
              </w:rPr>
              <w:t>Immunization</w:t>
            </w:r>
            <w:r w:rsidR="00B8607B">
              <w:rPr>
                <w:noProof/>
                <w:webHidden/>
              </w:rPr>
              <w:tab/>
            </w:r>
            <w:r w:rsidR="00B8607B">
              <w:rPr>
                <w:noProof/>
                <w:webHidden/>
              </w:rPr>
              <w:fldChar w:fldCharType="begin"/>
            </w:r>
            <w:r w:rsidR="00B8607B">
              <w:rPr>
                <w:noProof/>
                <w:webHidden/>
              </w:rPr>
              <w:instrText xml:space="preserve"> PAGEREF _Toc11494060 \h </w:instrText>
            </w:r>
            <w:r w:rsidR="00B8607B">
              <w:rPr>
                <w:noProof/>
                <w:webHidden/>
              </w:rPr>
            </w:r>
            <w:r w:rsidR="00B8607B">
              <w:rPr>
                <w:noProof/>
                <w:webHidden/>
              </w:rPr>
              <w:fldChar w:fldCharType="separate"/>
            </w:r>
            <w:r w:rsidR="001A57C0">
              <w:rPr>
                <w:noProof/>
                <w:webHidden/>
              </w:rPr>
              <w:t>74</w:t>
            </w:r>
            <w:r w:rsidR="00B8607B">
              <w:rPr>
                <w:noProof/>
                <w:webHidden/>
              </w:rPr>
              <w:fldChar w:fldCharType="end"/>
            </w:r>
          </w:hyperlink>
        </w:p>
        <w:p w14:paraId="73E77A20" w14:textId="4F229E5E" w:rsidR="00B8607B" w:rsidRDefault="00225302">
          <w:pPr>
            <w:pStyle w:val="TOC2"/>
            <w:tabs>
              <w:tab w:val="left" w:pos="880"/>
              <w:tab w:val="right" w:leader="dot" w:pos="9016"/>
            </w:tabs>
            <w:rPr>
              <w:rFonts w:eastAsiaTheme="minorEastAsia"/>
              <w:noProof/>
            </w:rPr>
          </w:pPr>
          <w:hyperlink w:anchor="_Toc11494061" w:history="1">
            <w:r w:rsidR="00B8607B" w:rsidRPr="00CD337F">
              <w:rPr>
                <w:rStyle w:val="Hyperlink"/>
                <w:rFonts w:ascii="Candara" w:hAnsi="Candara"/>
                <w:b/>
                <w:noProof/>
              </w:rPr>
              <w:t>2.30.</w:t>
            </w:r>
            <w:r w:rsidR="00B8607B">
              <w:rPr>
                <w:rFonts w:eastAsiaTheme="minorEastAsia"/>
                <w:noProof/>
              </w:rPr>
              <w:tab/>
            </w:r>
            <w:r w:rsidR="00B8607B" w:rsidRPr="00CD337F">
              <w:rPr>
                <w:rStyle w:val="Hyperlink"/>
                <w:rFonts w:ascii="Candara" w:hAnsi="Candara"/>
                <w:b/>
                <w:noProof/>
              </w:rPr>
              <w:t>Sexually Transmitted Infections (STIs)</w:t>
            </w:r>
            <w:r w:rsidR="00B8607B">
              <w:rPr>
                <w:noProof/>
                <w:webHidden/>
              </w:rPr>
              <w:tab/>
            </w:r>
            <w:r w:rsidR="00B8607B">
              <w:rPr>
                <w:noProof/>
                <w:webHidden/>
              </w:rPr>
              <w:fldChar w:fldCharType="begin"/>
            </w:r>
            <w:r w:rsidR="00B8607B">
              <w:rPr>
                <w:noProof/>
                <w:webHidden/>
              </w:rPr>
              <w:instrText xml:space="preserve"> PAGEREF _Toc11494061 \h </w:instrText>
            </w:r>
            <w:r w:rsidR="00B8607B">
              <w:rPr>
                <w:noProof/>
                <w:webHidden/>
              </w:rPr>
            </w:r>
            <w:r w:rsidR="00B8607B">
              <w:rPr>
                <w:noProof/>
                <w:webHidden/>
              </w:rPr>
              <w:fldChar w:fldCharType="separate"/>
            </w:r>
            <w:r w:rsidR="001A57C0">
              <w:rPr>
                <w:noProof/>
                <w:webHidden/>
              </w:rPr>
              <w:t>78</w:t>
            </w:r>
            <w:r w:rsidR="00B8607B">
              <w:rPr>
                <w:noProof/>
                <w:webHidden/>
              </w:rPr>
              <w:fldChar w:fldCharType="end"/>
            </w:r>
          </w:hyperlink>
        </w:p>
        <w:p w14:paraId="124505EE" w14:textId="08FE5D6B" w:rsidR="00B8607B" w:rsidRDefault="00225302">
          <w:pPr>
            <w:pStyle w:val="TOC2"/>
            <w:tabs>
              <w:tab w:val="left" w:pos="880"/>
              <w:tab w:val="right" w:leader="dot" w:pos="9016"/>
            </w:tabs>
            <w:rPr>
              <w:rFonts w:eastAsiaTheme="minorEastAsia"/>
              <w:noProof/>
            </w:rPr>
          </w:pPr>
          <w:hyperlink w:anchor="_Toc11494062" w:history="1">
            <w:r w:rsidR="00B8607B" w:rsidRPr="00CD337F">
              <w:rPr>
                <w:rStyle w:val="Hyperlink"/>
                <w:rFonts w:ascii="Candara" w:hAnsi="Candara"/>
                <w:b/>
                <w:noProof/>
              </w:rPr>
              <w:t>2.31.</w:t>
            </w:r>
            <w:r w:rsidR="00B8607B">
              <w:rPr>
                <w:rFonts w:eastAsiaTheme="minorEastAsia"/>
                <w:noProof/>
              </w:rPr>
              <w:tab/>
            </w:r>
            <w:r w:rsidR="00B8607B" w:rsidRPr="00CD337F">
              <w:rPr>
                <w:rStyle w:val="Hyperlink"/>
                <w:rFonts w:ascii="Candara" w:hAnsi="Candara"/>
                <w:b/>
                <w:noProof/>
              </w:rPr>
              <w:t>Blood Transfusion</w:t>
            </w:r>
            <w:r w:rsidR="00B8607B">
              <w:rPr>
                <w:noProof/>
                <w:webHidden/>
              </w:rPr>
              <w:tab/>
            </w:r>
            <w:r w:rsidR="00B8607B">
              <w:rPr>
                <w:noProof/>
                <w:webHidden/>
              </w:rPr>
              <w:fldChar w:fldCharType="begin"/>
            </w:r>
            <w:r w:rsidR="00B8607B">
              <w:rPr>
                <w:noProof/>
                <w:webHidden/>
              </w:rPr>
              <w:instrText xml:space="preserve"> PAGEREF _Toc11494062 \h </w:instrText>
            </w:r>
            <w:r w:rsidR="00B8607B">
              <w:rPr>
                <w:noProof/>
                <w:webHidden/>
              </w:rPr>
            </w:r>
            <w:r w:rsidR="00B8607B">
              <w:rPr>
                <w:noProof/>
                <w:webHidden/>
              </w:rPr>
              <w:fldChar w:fldCharType="separate"/>
            </w:r>
            <w:r w:rsidR="001A57C0">
              <w:rPr>
                <w:noProof/>
                <w:webHidden/>
              </w:rPr>
              <w:t>79</w:t>
            </w:r>
            <w:r w:rsidR="00B8607B">
              <w:rPr>
                <w:noProof/>
                <w:webHidden/>
              </w:rPr>
              <w:fldChar w:fldCharType="end"/>
            </w:r>
          </w:hyperlink>
        </w:p>
        <w:p w14:paraId="7D0128F0" w14:textId="7667F247" w:rsidR="00B8607B" w:rsidRDefault="00225302">
          <w:pPr>
            <w:pStyle w:val="TOC1"/>
            <w:tabs>
              <w:tab w:val="left" w:pos="440"/>
              <w:tab w:val="right" w:leader="dot" w:pos="9016"/>
            </w:tabs>
            <w:rPr>
              <w:rFonts w:eastAsiaTheme="minorEastAsia"/>
              <w:noProof/>
            </w:rPr>
          </w:pPr>
          <w:hyperlink w:anchor="_Toc11494063" w:history="1">
            <w:r w:rsidR="00B8607B" w:rsidRPr="00CD337F">
              <w:rPr>
                <w:rStyle w:val="Hyperlink"/>
                <w:rFonts w:ascii="Candara" w:hAnsi="Candara"/>
                <w:b/>
                <w:noProof/>
              </w:rPr>
              <w:t>3.</w:t>
            </w:r>
            <w:r w:rsidR="00B8607B">
              <w:rPr>
                <w:rFonts w:eastAsiaTheme="minorEastAsia"/>
                <w:noProof/>
              </w:rPr>
              <w:tab/>
            </w:r>
            <w:r w:rsidR="00B8607B" w:rsidRPr="00CD337F">
              <w:rPr>
                <w:rStyle w:val="Hyperlink"/>
                <w:rFonts w:ascii="Candara" w:hAnsi="Candara"/>
                <w:b/>
                <w:noProof/>
              </w:rPr>
              <w:t>RESULTS (Data Quality Review)</w:t>
            </w:r>
            <w:r w:rsidR="00B8607B">
              <w:rPr>
                <w:noProof/>
                <w:webHidden/>
              </w:rPr>
              <w:tab/>
            </w:r>
            <w:r w:rsidR="00B8607B">
              <w:rPr>
                <w:noProof/>
                <w:webHidden/>
              </w:rPr>
              <w:fldChar w:fldCharType="begin"/>
            </w:r>
            <w:r w:rsidR="00B8607B">
              <w:rPr>
                <w:noProof/>
                <w:webHidden/>
              </w:rPr>
              <w:instrText xml:space="preserve"> PAGEREF _Toc11494063 \h </w:instrText>
            </w:r>
            <w:r w:rsidR="00B8607B">
              <w:rPr>
                <w:noProof/>
                <w:webHidden/>
              </w:rPr>
            </w:r>
            <w:r w:rsidR="00B8607B">
              <w:rPr>
                <w:noProof/>
                <w:webHidden/>
              </w:rPr>
              <w:fldChar w:fldCharType="separate"/>
            </w:r>
            <w:r w:rsidR="001A57C0">
              <w:rPr>
                <w:noProof/>
                <w:webHidden/>
              </w:rPr>
              <w:t>81</w:t>
            </w:r>
            <w:r w:rsidR="00B8607B">
              <w:rPr>
                <w:noProof/>
                <w:webHidden/>
              </w:rPr>
              <w:fldChar w:fldCharType="end"/>
            </w:r>
          </w:hyperlink>
        </w:p>
        <w:p w14:paraId="308C8935" w14:textId="34D2A8F5" w:rsidR="00B8607B" w:rsidRDefault="00225302">
          <w:pPr>
            <w:pStyle w:val="TOC2"/>
            <w:tabs>
              <w:tab w:val="left" w:pos="880"/>
              <w:tab w:val="right" w:leader="dot" w:pos="9016"/>
            </w:tabs>
            <w:rPr>
              <w:rFonts w:eastAsiaTheme="minorEastAsia"/>
              <w:noProof/>
            </w:rPr>
          </w:pPr>
          <w:hyperlink w:anchor="_Toc11494064" w:history="1">
            <w:r w:rsidR="00B8607B" w:rsidRPr="00CD337F">
              <w:rPr>
                <w:rStyle w:val="Hyperlink"/>
                <w:rFonts w:ascii="Candara" w:hAnsi="Candara"/>
                <w:b/>
                <w:noProof/>
              </w:rPr>
              <w:t>3.1.</w:t>
            </w:r>
            <w:r w:rsidR="00B8607B">
              <w:rPr>
                <w:rFonts w:eastAsiaTheme="minorEastAsia"/>
                <w:noProof/>
              </w:rPr>
              <w:tab/>
            </w:r>
            <w:r w:rsidR="00B8607B" w:rsidRPr="00CD337F">
              <w:rPr>
                <w:rStyle w:val="Hyperlink"/>
                <w:rFonts w:ascii="Candara" w:hAnsi="Candara"/>
                <w:b/>
                <w:noProof/>
              </w:rPr>
              <w:t>Methodology</w:t>
            </w:r>
            <w:r w:rsidR="00B8607B">
              <w:rPr>
                <w:noProof/>
                <w:webHidden/>
              </w:rPr>
              <w:tab/>
            </w:r>
            <w:r w:rsidR="00B8607B">
              <w:rPr>
                <w:noProof/>
                <w:webHidden/>
              </w:rPr>
              <w:fldChar w:fldCharType="begin"/>
            </w:r>
            <w:r w:rsidR="00B8607B">
              <w:rPr>
                <w:noProof/>
                <w:webHidden/>
              </w:rPr>
              <w:instrText xml:space="preserve"> PAGEREF _Toc11494064 \h </w:instrText>
            </w:r>
            <w:r w:rsidR="00B8607B">
              <w:rPr>
                <w:noProof/>
                <w:webHidden/>
              </w:rPr>
            </w:r>
            <w:r w:rsidR="00B8607B">
              <w:rPr>
                <w:noProof/>
                <w:webHidden/>
              </w:rPr>
              <w:fldChar w:fldCharType="separate"/>
            </w:r>
            <w:r w:rsidR="001A57C0">
              <w:rPr>
                <w:noProof/>
                <w:webHidden/>
              </w:rPr>
              <w:t>81</w:t>
            </w:r>
            <w:r w:rsidR="00B8607B">
              <w:rPr>
                <w:noProof/>
                <w:webHidden/>
              </w:rPr>
              <w:fldChar w:fldCharType="end"/>
            </w:r>
          </w:hyperlink>
        </w:p>
        <w:p w14:paraId="1A788036" w14:textId="2F38C56D" w:rsidR="00B8607B" w:rsidRDefault="00225302">
          <w:pPr>
            <w:pStyle w:val="TOC2"/>
            <w:tabs>
              <w:tab w:val="left" w:pos="880"/>
              <w:tab w:val="right" w:leader="dot" w:pos="9016"/>
            </w:tabs>
            <w:rPr>
              <w:rFonts w:eastAsiaTheme="minorEastAsia"/>
              <w:noProof/>
            </w:rPr>
          </w:pPr>
          <w:hyperlink w:anchor="_Toc11494065" w:history="1">
            <w:r w:rsidR="00B8607B" w:rsidRPr="00CD337F">
              <w:rPr>
                <w:rStyle w:val="Hyperlink"/>
                <w:rFonts w:ascii="Candara" w:hAnsi="Candara"/>
                <w:b/>
                <w:noProof/>
              </w:rPr>
              <w:t>3.2.</w:t>
            </w:r>
            <w:r w:rsidR="00B8607B">
              <w:rPr>
                <w:rFonts w:eastAsiaTheme="minorEastAsia"/>
                <w:noProof/>
              </w:rPr>
              <w:tab/>
            </w:r>
            <w:r w:rsidR="00B8607B" w:rsidRPr="00CD337F">
              <w:rPr>
                <w:rStyle w:val="Hyperlink"/>
                <w:rFonts w:ascii="Candara" w:hAnsi="Candara"/>
                <w:b/>
                <w:noProof/>
              </w:rPr>
              <w:t>Results</w:t>
            </w:r>
            <w:r w:rsidR="00B8607B">
              <w:rPr>
                <w:noProof/>
                <w:webHidden/>
              </w:rPr>
              <w:tab/>
            </w:r>
            <w:r w:rsidR="00B8607B">
              <w:rPr>
                <w:noProof/>
                <w:webHidden/>
              </w:rPr>
              <w:fldChar w:fldCharType="begin"/>
            </w:r>
            <w:r w:rsidR="00B8607B">
              <w:rPr>
                <w:noProof/>
                <w:webHidden/>
              </w:rPr>
              <w:instrText xml:space="preserve"> PAGEREF _Toc11494065 \h </w:instrText>
            </w:r>
            <w:r w:rsidR="00B8607B">
              <w:rPr>
                <w:noProof/>
                <w:webHidden/>
              </w:rPr>
            </w:r>
            <w:r w:rsidR="00B8607B">
              <w:rPr>
                <w:noProof/>
                <w:webHidden/>
              </w:rPr>
              <w:fldChar w:fldCharType="separate"/>
            </w:r>
            <w:r w:rsidR="001A57C0">
              <w:rPr>
                <w:noProof/>
                <w:webHidden/>
              </w:rPr>
              <w:t>81</w:t>
            </w:r>
            <w:r w:rsidR="00B8607B">
              <w:rPr>
                <w:noProof/>
                <w:webHidden/>
              </w:rPr>
              <w:fldChar w:fldCharType="end"/>
            </w:r>
          </w:hyperlink>
        </w:p>
        <w:p w14:paraId="1BDB55CF" w14:textId="402B8C14" w:rsidR="00B8607B" w:rsidRDefault="00225302">
          <w:pPr>
            <w:pStyle w:val="TOC3"/>
            <w:tabs>
              <w:tab w:val="left" w:pos="1100"/>
              <w:tab w:val="right" w:leader="dot" w:pos="9016"/>
            </w:tabs>
            <w:rPr>
              <w:rFonts w:eastAsiaTheme="minorEastAsia"/>
              <w:noProof/>
            </w:rPr>
          </w:pPr>
          <w:hyperlink w:anchor="_Toc11494066" w:history="1">
            <w:r w:rsidR="00B8607B" w:rsidRPr="00CD337F">
              <w:rPr>
                <w:rStyle w:val="Hyperlink"/>
                <w:rFonts w:ascii="Candara" w:hAnsi="Candara"/>
                <w:b/>
                <w:noProof/>
              </w:rPr>
              <w:t>4.21</w:t>
            </w:r>
            <w:r w:rsidR="00B8607B">
              <w:rPr>
                <w:rFonts w:eastAsiaTheme="minorEastAsia"/>
                <w:noProof/>
              </w:rPr>
              <w:tab/>
            </w:r>
            <w:r w:rsidR="00B8607B" w:rsidRPr="00CD337F">
              <w:rPr>
                <w:rStyle w:val="Hyperlink"/>
                <w:rFonts w:ascii="Candara" w:hAnsi="Candara"/>
                <w:b/>
                <w:noProof/>
              </w:rPr>
              <w:t>Facility level data verification</w:t>
            </w:r>
            <w:r w:rsidR="00B8607B">
              <w:rPr>
                <w:noProof/>
                <w:webHidden/>
              </w:rPr>
              <w:tab/>
            </w:r>
            <w:r w:rsidR="00B8607B">
              <w:rPr>
                <w:noProof/>
                <w:webHidden/>
              </w:rPr>
              <w:fldChar w:fldCharType="begin"/>
            </w:r>
            <w:r w:rsidR="00B8607B">
              <w:rPr>
                <w:noProof/>
                <w:webHidden/>
              </w:rPr>
              <w:instrText xml:space="preserve"> PAGEREF _Toc11494066 \h </w:instrText>
            </w:r>
            <w:r w:rsidR="00B8607B">
              <w:rPr>
                <w:noProof/>
                <w:webHidden/>
              </w:rPr>
            </w:r>
            <w:r w:rsidR="00B8607B">
              <w:rPr>
                <w:noProof/>
                <w:webHidden/>
              </w:rPr>
              <w:fldChar w:fldCharType="separate"/>
            </w:r>
            <w:r w:rsidR="001A57C0">
              <w:rPr>
                <w:noProof/>
                <w:webHidden/>
              </w:rPr>
              <w:t>81</w:t>
            </w:r>
            <w:r w:rsidR="00B8607B">
              <w:rPr>
                <w:noProof/>
                <w:webHidden/>
              </w:rPr>
              <w:fldChar w:fldCharType="end"/>
            </w:r>
          </w:hyperlink>
        </w:p>
        <w:p w14:paraId="4877B6E6" w14:textId="44E39202" w:rsidR="00B8607B" w:rsidRDefault="00225302">
          <w:pPr>
            <w:pStyle w:val="TOC3"/>
            <w:tabs>
              <w:tab w:val="right" w:leader="dot" w:pos="9016"/>
            </w:tabs>
            <w:rPr>
              <w:rFonts w:eastAsiaTheme="minorEastAsia"/>
              <w:noProof/>
            </w:rPr>
          </w:pPr>
          <w:hyperlink w:anchor="_Toc11494067" w:history="1">
            <w:r w:rsidR="00B8607B" w:rsidRPr="00CD337F">
              <w:rPr>
                <w:rStyle w:val="Hyperlink"/>
                <w:rFonts w:ascii="Candara" w:hAnsi="Candara"/>
                <w:b/>
                <w:noProof/>
              </w:rPr>
              <w:t>4.211 Maternal health: Antenatal care first visit</w:t>
            </w:r>
            <w:r w:rsidR="00B8607B">
              <w:rPr>
                <w:noProof/>
                <w:webHidden/>
              </w:rPr>
              <w:tab/>
            </w:r>
            <w:r w:rsidR="00B8607B">
              <w:rPr>
                <w:noProof/>
                <w:webHidden/>
              </w:rPr>
              <w:fldChar w:fldCharType="begin"/>
            </w:r>
            <w:r w:rsidR="00B8607B">
              <w:rPr>
                <w:noProof/>
                <w:webHidden/>
              </w:rPr>
              <w:instrText xml:space="preserve"> PAGEREF _Toc11494067 \h </w:instrText>
            </w:r>
            <w:r w:rsidR="00B8607B">
              <w:rPr>
                <w:noProof/>
                <w:webHidden/>
              </w:rPr>
            </w:r>
            <w:r w:rsidR="00B8607B">
              <w:rPr>
                <w:noProof/>
                <w:webHidden/>
              </w:rPr>
              <w:fldChar w:fldCharType="separate"/>
            </w:r>
            <w:r w:rsidR="001A57C0">
              <w:rPr>
                <w:noProof/>
                <w:webHidden/>
              </w:rPr>
              <w:t>84</w:t>
            </w:r>
            <w:r w:rsidR="00B8607B">
              <w:rPr>
                <w:noProof/>
                <w:webHidden/>
              </w:rPr>
              <w:fldChar w:fldCharType="end"/>
            </w:r>
          </w:hyperlink>
        </w:p>
        <w:p w14:paraId="33B06115" w14:textId="6B388E82" w:rsidR="00B8607B" w:rsidRDefault="00225302">
          <w:pPr>
            <w:pStyle w:val="TOC3"/>
            <w:tabs>
              <w:tab w:val="right" w:leader="dot" w:pos="9016"/>
            </w:tabs>
            <w:rPr>
              <w:rFonts w:eastAsiaTheme="minorEastAsia"/>
              <w:noProof/>
            </w:rPr>
          </w:pPr>
          <w:hyperlink w:anchor="_Toc11494068" w:history="1">
            <w:r w:rsidR="00B8607B" w:rsidRPr="00CD337F">
              <w:rPr>
                <w:rStyle w:val="Hyperlink"/>
                <w:rFonts w:ascii="Candara" w:hAnsi="Candara"/>
                <w:b/>
                <w:noProof/>
              </w:rPr>
              <w:t>4.212 Immunization: Pentavalent vaccine third dose in children under one year</w:t>
            </w:r>
            <w:r w:rsidR="00B8607B">
              <w:rPr>
                <w:noProof/>
                <w:webHidden/>
              </w:rPr>
              <w:tab/>
            </w:r>
            <w:r w:rsidR="00B8607B">
              <w:rPr>
                <w:noProof/>
                <w:webHidden/>
              </w:rPr>
              <w:fldChar w:fldCharType="begin"/>
            </w:r>
            <w:r w:rsidR="00B8607B">
              <w:rPr>
                <w:noProof/>
                <w:webHidden/>
              </w:rPr>
              <w:instrText xml:space="preserve"> PAGEREF _Toc11494068 \h </w:instrText>
            </w:r>
            <w:r w:rsidR="00B8607B">
              <w:rPr>
                <w:noProof/>
                <w:webHidden/>
              </w:rPr>
            </w:r>
            <w:r w:rsidR="00B8607B">
              <w:rPr>
                <w:noProof/>
                <w:webHidden/>
              </w:rPr>
              <w:fldChar w:fldCharType="separate"/>
            </w:r>
            <w:r w:rsidR="001A57C0">
              <w:rPr>
                <w:noProof/>
                <w:webHidden/>
              </w:rPr>
              <w:t>86</w:t>
            </w:r>
            <w:r w:rsidR="00B8607B">
              <w:rPr>
                <w:noProof/>
                <w:webHidden/>
              </w:rPr>
              <w:fldChar w:fldCharType="end"/>
            </w:r>
          </w:hyperlink>
        </w:p>
        <w:p w14:paraId="10894011" w14:textId="2780FC21" w:rsidR="00B8607B" w:rsidRDefault="00225302">
          <w:pPr>
            <w:pStyle w:val="TOC3"/>
            <w:tabs>
              <w:tab w:val="right" w:leader="dot" w:pos="9016"/>
            </w:tabs>
            <w:rPr>
              <w:rFonts w:eastAsiaTheme="minorEastAsia"/>
              <w:noProof/>
            </w:rPr>
          </w:pPr>
          <w:hyperlink w:anchor="_Toc11494069" w:history="1">
            <w:r w:rsidR="00B8607B" w:rsidRPr="00CD337F">
              <w:rPr>
                <w:rStyle w:val="Hyperlink"/>
                <w:rFonts w:ascii="Candara" w:hAnsi="Candara"/>
                <w:b/>
                <w:noProof/>
              </w:rPr>
              <w:t>4.213 HIV indicators: ART coverage</w:t>
            </w:r>
            <w:r w:rsidR="00B8607B">
              <w:rPr>
                <w:noProof/>
                <w:webHidden/>
              </w:rPr>
              <w:tab/>
            </w:r>
            <w:r w:rsidR="00B8607B">
              <w:rPr>
                <w:noProof/>
                <w:webHidden/>
              </w:rPr>
              <w:fldChar w:fldCharType="begin"/>
            </w:r>
            <w:r w:rsidR="00B8607B">
              <w:rPr>
                <w:noProof/>
                <w:webHidden/>
              </w:rPr>
              <w:instrText xml:space="preserve"> PAGEREF _Toc11494069 \h </w:instrText>
            </w:r>
            <w:r w:rsidR="00B8607B">
              <w:rPr>
                <w:noProof/>
                <w:webHidden/>
              </w:rPr>
            </w:r>
            <w:r w:rsidR="00B8607B">
              <w:rPr>
                <w:noProof/>
                <w:webHidden/>
              </w:rPr>
              <w:fldChar w:fldCharType="separate"/>
            </w:r>
            <w:r w:rsidR="001A57C0">
              <w:rPr>
                <w:noProof/>
                <w:webHidden/>
              </w:rPr>
              <w:t>88</w:t>
            </w:r>
            <w:r w:rsidR="00B8607B">
              <w:rPr>
                <w:noProof/>
                <w:webHidden/>
              </w:rPr>
              <w:fldChar w:fldCharType="end"/>
            </w:r>
          </w:hyperlink>
        </w:p>
        <w:p w14:paraId="7C6B930E" w14:textId="56033E1A" w:rsidR="00B8607B" w:rsidRDefault="00225302">
          <w:pPr>
            <w:pStyle w:val="TOC3"/>
            <w:tabs>
              <w:tab w:val="right" w:leader="dot" w:pos="9016"/>
            </w:tabs>
            <w:rPr>
              <w:rFonts w:eastAsiaTheme="minorEastAsia"/>
              <w:noProof/>
            </w:rPr>
          </w:pPr>
          <w:hyperlink w:anchor="_Toc11494070" w:history="1">
            <w:r w:rsidR="00B8607B" w:rsidRPr="00CD337F">
              <w:rPr>
                <w:rStyle w:val="Hyperlink"/>
                <w:rFonts w:ascii="Candara" w:hAnsi="Candara"/>
                <w:b/>
                <w:noProof/>
              </w:rPr>
              <w:t>4.214 Tuberculosis: TB cases</w:t>
            </w:r>
            <w:r w:rsidR="00B8607B">
              <w:rPr>
                <w:noProof/>
                <w:webHidden/>
              </w:rPr>
              <w:tab/>
            </w:r>
            <w:r w:rsidR="00B8607B">
              <w:rPr>
                <w:noProof/>
                <w:webHidden/>
              </w:rPr>
              <w:fldChar w:fldCharType="begin"/>
            </w:r>
            <w:r w:rsidR="00B8607B">
              <w:rPr>
                <w:noProof/>
                <w:webHidden/>
              </w:rPr>
              <w:instrText xml:space="preserve"> PAGEREF _Toc11494070 \h </w:instrText>
            </w:r>
            <w:r w:rsidR="00B8607B">
              <w:rPr>
                <w:noProof/>
                <w:webHidden/>
              </w:rPr>
            </w:r>
            <w:r w:rsidR="00B8607B">
              <w:rPr>
                <w:noProof/>
                <w:webHidden/>
              </w:rPr>
              <w:fldChar w:fldCharType="separate"/>
            </w:r>
            <w:r w:rsidR="001A57C0">
              <w:rPr>
                <w:noProof/>
                <w:webHidden/>
              </w:rPr>
              <w:t>90</w:t>
            </w:r>
            <w:r w:rsidR="00B8607B">
              <w:rPr>
                <w:noProof/>
                <w:webHidden/>
              </w:rPr>
              <w:fldChar w:fldCharType="end"/>
            </w:r>
          </w:hyperlink>
        </w:p>
        <w:p w14:paraId="45F579D8" w14:textId="1D937F47" w:rsidR="00B8607B" w:rsidRDefault="00225302">
          <w:pPr>
            <w:pStyle w:val="TOC3"/>
            <w:tabs>
              <w:tab w:val="right" w:leader="dot" w:pos="9016"/>
            </w:tabs>
            <w:rPr>
              <w:rFonts w:eastAsiaTheme="minorEastAsia"/>
              <w:noProof/>
            </w:rPr>
          </w:pPr>
          <w:hyperlink w:anchor="_Toc11494071" w:history="1">
            <w:r w:rsidR="00B8607B" w:rsidRPr="00CD337F">
              <w:rPr>
                <w:rStyle w:val="Hyperlink"/>
                <w:rFonts w:ascii="Candara" w:hAnsi="Candara"/>
                <w:b/>
                <w:noProof/>
              </w:rPr>
              <w:t>4.215 Malaria: Confirmed malaria cases</w:t>
            </w:r>
            <w:r w:rsidR="00B8607B">
              <w:rPr>
                <w:noProof/>
                <w:webHidden/>
              </w:rPr>
              <w:tab/>
            </w:r>
            <w:r w:rsidR="00B8607B">
              <w:rPr>
                <w:noProof/>
                <w:webHidden/>
              </w:rPr>
              <w:fldChar w:fldCharType="begin"/>
            </w:r>
            <w:r w:rsidR="00B8607B">
              <w:rPr>
                <w:noProof/>
                <w:webHidden/>
              </w:rPr>
              <w:instrText xml:space="preserve"> PAGEREF _Toc11494071 \h </w:instrText>
            </w:r>
            <w:r w:rsidR="00B8607B">
              <w:rPr>
                <w:noProof/>
                <w:webHidden/>
              </w:rPr>
            </w:r>
            <w:r w:rsidR="00B8607B">
              <w:rPr>
                <w:noProof/>
                <w:webHidden/>
              </w:rPr>
              <w:fldChar w:fldCharType="separate"/>
            </w:r>
            <w:r w:rsidR="001A57C0">
              <w:rPr>
                <w:noProof/>
                <w:webHidden/>
              </w:rPr>
              <w:t>92</w:t>
            </w:r>
            <w:r w:rsidR="00B8607B">
              <w:rPr>
                <w:noProof/>
                <w:webHidden/>
              </w:rPr>
              <w:fldChar w:fldCharType="end"/>
            </w:r>
          </w:hyperlink>
        </w:p>
        <w:p w14:paraId="755033C0" w14:textId="4A9CDD40" w:rsidR="00B8607B" w:rsidRDefault="00225302">
          <w:pPr>
            <w:pStyle w:val="TOC3"/>
            <w:tabs>
              <w:tab w:val="right" w:leader="dot" w:pos="9016"/>
            </w:tabs>
            <w:rPr>
              <w:rFonts w:eastAsiaTheme="minorEastAsia"/>
              <w:noProof/>
            </w:rPr>
          </w:pPr>
          <w:hyperlink w:anchor="_Toc11494072" w:history="1">
            <w:r w:rsidR="00B8607B" w:rsidRPr="00CD337F">
              <w:rPr>
                <w:rStyle w:val="Hyperlink"/>
                <w:rFonts w:ascii="Candara" w:hAnsi="Candara"/>
                <w:b/>
                <w:noProof/>
              </w:rPr>
              <w:t>4.216 Facility level system assessment</w:t>
            </w:r>
            <w:r w:rsidR="00B8607B">
              <w:rPr>
                <w:noProof/>
                <w:webHidden/>
              </w:rPr>
              <w:tab/>
            </w:r>
            <w:r w:rsidR="00B8607B">
              <w:rPr>
                <w:noProof/>
                <w:webHidden/>
              </w:rPr>
              <w:fldChar w:fldCharType="begin"/>
            </w:r>
            <w:r w:rsidR="00B8607B">
              <w:rPr>
                <w:noProof/>
                <w:webHidden/>
              </w:rPr>
              <w:instrText xml:space="preserve"> PAGEREF _Toc11494072 \h </w:instrText>
            </w:r>
            <w:r w:rsidR="00B8607B">
              <w:rPr>
                <w:noProof/>
                <w:webHidden/>
              </w:rPr>
            </w:r>
            <w:r w:rsidR="00B8607B">
              <w:rPr>
                <w:noProof/>
                <w:webHidden/>
              </w:rPr>
              <w:fldChar w:fldCharType="separate"/>
            </w:r>
            <w:r w:rsidR="001A57C0">
              <w:rPr>
                <w:noProof/>
                <w:webHidden/>
              </w:rPr>
              <w:t>94</w:t>
            </w:r>
            <w:r w:rsidR="00B8607B">
              <w:rPr>
                <w:noProof/>
                <w:webHidden/>
              </w:rPr>
              <w:fldChar w:fldCharType="end"/>
            </w:r>
          </w:hyperlink>
        </w:p>
        <w:p w14:paraId="20DE3640" w14:textId="1129F52F" w:rsidR="00B8607B" w:rsidRDefault="00225302">
          <w:pPr>
            <w:pStyle w:val="TOC1"/>
            <w:tabs>
              <w:tab w:val="left" w:pos="440"/>
              <w:tab w:val="right" w:leader="dot" w:pos="9016"/>
            </w:tabs>
            <w:rPr>
              <w:rFonts w:eastAsiaTheme="minorEastAsia"/>
              <w:noProof/>
            </w:rPr>
          </w:pPr>
          <w:hyperlink w:anchor="_Toc11494073" w:history="1">
            <w:r w:rsidR="00B8607B" w:rsidRPr="00CD337F">
              <w:rPr>
                <w:rStyle w:val="Hyperlink"/>
                <w:rFonts w:ascii="Candara" w:hAnsi="Candara"/>
                <w:b/>
                <w:noProof/>
              </w:rPr>
              <w:t>4.</w:t>
            </w:r>
            <w:r w:rsidR="00B8607B">
              <w:rPr>
                <w:rFonts w:eastAsiaTheme="minorEastAsia"/>
                <w:noProof/>
              </w:rPr>
              <w:tab/>
            </w:r>
            <w:r w:rsidR="00B8607B" w:rsidRPr="00CD337F">
              <w:rPr>
                <w:rStyle w:val="Hyperlink"/>
                <w:rFonts w:ascii="Candara" w:hAnsi="Candara"/>
                <w:b/>
                <w:noProof/>
              </w:rPr>
              <w:t>CONCLUSION/RECOMMENDATIONS</w:t>
            </w:r>
            <w:r w:rsidR="00B8607B">
              <w:rPr>
                <w:noProof/>
                <w:webHidden/>
              </w:rPr>
              <w:tab/>
            </w:r>
            <w:r w:rsidR="00B8607B">
              <w:rPr>
                <w:noProof/>
                <w:webHidden/>
              </w:rPr>
              <w:fldChar w:fldCharType="begin"/>
            </w:r>
            <w:r w:rsidR="00B8607B">
              <w:rPr>
                <w:noProof/>
                <w:webHidden/>
              </w:rPr>
              <w:instrText xml:space="preserve"> PAGEREF _Toc11494073 \h </w:instrText>
            </w:r>
            <w:r w:rsidR="00B8607B">
              <w:rPr>
                <w:noProof/>
                <w:webHidden/>
              </w:rPr>
            </w:r>
            <w:r w:rsidR="00B8607B">
              <w:rPr>
                <w:noProof/>
                <w:webHidden/>
              </w:rPr>
              <w:fldChar w:fldCharType="separate"/>
            </w:r>
            <w:r w:rsidR="001A57C0">
              <w:rPr>
                <w:noProof/>
                <w:webHidden/>
              </w:rPr>
              <w:t>97</w:t>
            </w:r>
            <w:r w:rsidR="00B8607B">
              <w:rPr>
                <w:noProof/>
                <w:webHidden/>
              </w:rPr>
              <w:fldChar w:fldCharType="end"/>
            </w:r>
          </w:hyperlink>
        </w:p>
        <w:p w14:paraId="07D40581" w14:textId="1C9F698E" w:rsidR="00B8607B" w:rsidRDefault="00225302">
          <w:pPr>
            <w:pStyle w:val="TOC1"/>
            <w:tabs>
              <w:tab w:val="left" w:pos="440"/>
              <w:tab w:val="right" w:leader="dot" w:pos="9016"/>
            </w:tabs>
            <w:rPr>
              <w:rFonts w:eastAsiaTheme="minorEastAsia"/>
              <w:noProof/>
            </w:rPr>
          </w:pPr>
          <w:hyperlink w:anchor="_Toc11494074" w:history="1">
            <w:r w:rsidR="00B8607B" w:rsidRPr="00CD337F">
              <w:rPr>
                <w:rStyle w:val="Hyperlink"/>
                <w:rFonts w:ascii="Candara" w:hAnsi="Candara"/>
                <w:b/>
                <w:noProof/>
              </w:rPr>
              <w:t>5.</w:t>
            </w:r>
            <w:r w:rsidR="00B8607B">
              <w:rPr>
                <w:rFonts w:eastAsiaTheme="minorEastAsia"/>
                <w:noProof/>
              </w:rPr>
              <w:tab/>
            </w:r>
            <w:r w:rsidR="00B8607B" w:rsidRPr="00CD337F">
              <w:rPr>
                <w:rStyle w:val="Hyperlink"/>
                <w:rFonts w:ascii="Candara" w:hAnsi="Candara"/>
                <w:b/>
                <w:noProof/>
              </w:rPr>
              <w:t>ANNEX</w:t>
            </w:r>
            <w:r w:rsidR="00B8607B">
              <w:rPr>
                <w:noProof/>
                <w:webHidden/>
              </w:rPr>
              <w:tab/>
            </w:r>
            <w:r w:rsidR="00B8607B">
              <w:rPr>
                <w:noProof/>
                <w:webHidden/>
              </w:rPr>
              <w:fldChar w:fldCharType="begin"/>
            </w:r>
            <w:r w:rsidR="00B8607B">
              <w:rPr>
                <w:noProof/>
                <w:webHidden/>
              </w:rPr>
              <w:instrText xml:space="preserve"> PAGEREF _Toc11494074 \h </w:instrText>
            </w:r>
            <w:r w:rsidR="00B8607B">
              <w:rPr>
                <w:noProof/>
                <w:webHidden/>
              </w:rPr>
            </w:r>
            <w:r w:rsidR="00B8607B">
              <w:rPr>
                <w:noProof/>
                <w:webHidden/>
              </w:rPr>
              <w:fldChar w:fldCharType="separate"/>
            </w:r>
            <w:r w:rsidR="001A57C0">
              <w:rPr>
                <w:noProof/>
                <w:webHidden/>
              </w:rPr>
              <w:t>99</w:t>
            </w:r>
            <w:r w:rsidR="00B8607B">
              <w:rPr>
                <w:noProof/>
                <w:webHidden/>
              </w:rPr>
              <w:fldChar w:fldCharType="end"/>
            </w:r>
          </w:hyperlink>
        </w:p>
        <w:p w14:paraId="6BE3C794" w14:textId="0429828A" w:rsidR="00B8607B" w:rsidRDefault="00225302">
          <w:pPr>
            <w:pStyle w:val="TOC2"/>
            <w:tabs>
              <w:tab w:val="left" w:pos="880"/>
              <w:tab w:val="right" w:leader="dot" w:pos="9016"/>
            </w:tabs>
            <w:rPr>
              <w:rFonts w:eastAsiaTheme="minorEastAsia"/>
              <w:noProof/>
            </w:rPr>
          </w:pPr>
          <w:hyperlink w:anchor="_Toc11494075" w:history="1">
            <w:r w:rsidR="00B8607B" w:rsidRPr="00CD337F">
              <w:rPr>
                <w:rStyle w:val="Hyperlink"/>
                <w:rFonts w:ascii="Candara" w:hAnsi="Candara"/>
                <w:b/>
                <w:noProof/>
              </w:rPr>
              <w:t>5.1.</w:t>
            </w:r>
            <w:r w:rsidR="00B8607B">
              <w:rPr>
                <w:rFonts w:eastAsiaTheme="minorEastAsia"/>
                <w:noProof/>
              </w:rPr>
              <w:tab/>
            </w:r>
            <w:r w:rsidR="00B8607B" w:rsidRPr="00CD337F">
              <w:rPr>
                <w:rStyle w:val="Hyperlink"/>
                <w:rFonts w:ascii="Candara" w:hAnsi="Candara"/>
                <w:b/>
                <w:noProof/>
              </w:rPr>
              <w:t>Distribution of health facilities assessed by key stratifiers</w:t>
            </w:r>
            <w:r w:rsidR="00B8607B">
              <w:rPr>
                <w:noProof/>
                <w:webHidden/>
              </w:rPr>
              <w:tab/>
            </w:r>
            <w:r w:rsidR="00B8607B">
              <w:rPr>
                <w:noProof/>
                <w:webHidden/>
              </w:rPr>
              <w:fldChar w:fldCharType="begin"/>
            </w:r>
            <w:r w:rsidR="00B8607B">
              <w:rPr>
                <w:noProof/>
                <w:webHidden/>
              </w:rPr>
              <w:instrText xml:space="preserve"> PAGEREF _Toc11494075 \h </w:instrText>
            </w:r>
            <w:r w:rsidR="00B8607B">
              <w:rPr>
                <w:noProof/>
                <w:webHidden/>
              </w:rPr>
            </w:r>
            <w:r w:rsidR="00B8607B">
              <w:rPr>
                <w:noProof/>
                <w:webHidden/>
              </w:rPr>
              <w:fldChar w:fldCharType="separate"/>
            </w:r>
            <w:r w:rsidR="001A57C0">
              <w:rPr>
                <w:noProof/>
                <w:webHidden/>
              </w:rPr>
              <w:t>99</w:t>
            </w:r>
            <w:r w:rsidR="00B8607B">
              <w:rPr>
                <w:noProof/>
                <w:webHidden/>
              </w:rPr>
              <w:fldChar w:fldCharType="end"/>
            </w:r>
          </w:hyperlink>
        </w:p>
        <w:p w14:paraId="1C6C6EEE" w14:textId="4FDA1CC3" w:rsidR="00B8607B" w:rsidRDefault="00225302">
          <w:pPr>
            <w:pStyle w:val="TOC2"/>
            <w:tabs>
              <w:tab w:val="left" w:pos="880"/>
              <w:tab w:val="right" w:leader="dot" w:pos="9016"/>
            </w:tabs>
            <w:rPr>
              <w:rFonts w:eastAsiaTheme="minorEastAsia"/>
              <w:noProof/>
            </w:rPr>
          </w:pPr>
          <w:hyperlink w:anchor="_Toc11494076" w:history="1">
            <w:r w:rsidR="00B8607B" w:rsidRPr="00CD337F">
              <w:rPr>
                <w:rStyle w:val="Hyperlink"/>
                <w:rFonts w:ascii="Candara" w:hAnsi="Candara"/>
                <w:b/>
                <w:noProof/>
              </w:rPr>
              <w:t>5.2.</w:t>
            </w:r>
            <w:r w:rsidR="00B8607B">
              <w:rPr>
                <w:rFonts w:eastAsiaTheme="minorEastAsia"/>
                <w:noProof/>
              </w:rPr>
              <w:tab/>
            </w:r>
            <w:r w:rsidR="00B8607B" w:rsidRPr="00CD337F">
              <w:rPr>
                <w:rStyle w:val="Hyperlink"/>
                <w:rFonts w:ascii="Candara" w:hAnsi="Candara"/>
                <w:b/>
                <w:noProof/>
              </w:rPr>
              <w:t>General hospitals and HC IVs which do not offer ANC</w:t>
            </w:r>
            <w:r w:rsidR="00B8607B">
              <w:rPr>
                <w:noProof/>
                <w:webHidden/>
              </w:rPr>
              <w:tab/>
            </w:r>
            <w:r w:rsidR="00B8607B">
              <w:rPr>
                <w:noProof/>
                <w:webHidden/>
              </w:rPr>
              <w:fldChar w:fldCharType="begin"/>
            </w:r>
            <w:r w:rsidR="00B8607B">
              <w:rPr>
                <w:noProof/>
                <w:webHidden/>
              </w:rPr>
              <w:instrText xml:space="preserve"> PAGEREF _Toc11494076 \h </w:instrText>
            </w:r>
            <w:r w:rsidR="00B8607B">
              <w:rPr>
                <w:noProof/>
                <w:webHidden/>
              </w:rPr>
            </w:r>
            <w:r w:rsidR="00B8607B">
              <w:rPr>
                <w:noProof/>
                <w:webHidden/>
              </w:rPr>
              <w:fldChar w:fldCharType="separate"/>
            </w:r>
            <w:r w:rsidR="001A57C0">
              <w:rPr>
                <w:noProof/>
                <w:webHidden/>
              </w:rPr>
              <w:t>100</w:t>
            </w:r>
            <w:r w:rsidR="00B8607B">
              <w:rPr>
                <w:noProof/>
                <w:webHidden/>
              </w:rPr>
              <w:fldChar w:fldCharType="end"/>
            </w:r>
          </w:hyperlink>
        </w:p>
        <w:p w14:paraId="06E8652D" w14:textId="53A8BAA9" w:rsidR="00B8607B" w:rsidRDefault="00225302">
          <w:pPr>
            <w:pStyle w:val="TOC2"/>
            <w:tabs>
              <w:tab w:val="left" w:pos="880"/>
              <w:tab w:val="right" w:leader="dot" w:pos="9016"/>
            </w:tabs>
            <w:rPr>
              <w:rFonts w:eastAsiaTheme="minorEastAsia"/>
              <w:noProof/>
            </w:rPr>
          </w:pPr>
          <w:hyperlink w:anchor="_Toc11494077" w:history="1">
            <w:r w:rsidR="00B8607B" w:rsidRPr="00CD337F">
              <w:rPr>
                <w:rStyle w:val="Hyperlink"/>
                <w:rFonts w:ascii="Candara" w:hAnsi="Candara"/>
                <w:b/>
                <w:noProof/>
              </w:rPr>
              <w:t>5.3.</w:t>
            </w:r>
            <w:r w:rsidR="00B8607B">
              <w:rPr>
                <w:rFonts w:eastAsiaTheme="minorEastAsia"/>
                <w:noProof/>
              </w:rPr>
              <w:tab/>
            </w:r>
            <w:r w:rsidR="00B8607B" w:rsidRPr="00CD337F">
              <w:rPr>
                <w:rStyle w:val="Hyperlink"/>
                <w:rFonts w:ascii="Candara" w:hAnsi="Candara"/>
                <w:b/>
                <w:noProof/>
              </w:rPr>
              <w:t>RRHs, General Hospitals and HC IVs which do not offer caesarean section</w:t>
            </w:r>
            <w:r w:rsidR="00B8607B">
              <w:rPr>
                <w:noProof/>
                <w:webHidden/>
              </w:rPr>
              <w:tab/>
            </w:r>
            <w:r w:rsidR="00B8607B">
              <w:rPr>
                <w:noProof/>
                <w:webHidden/>
              </w:rPr>
              <w:fldChar w:fldCharType="begin"/>
            </w:r>
            <w:r w:rsidR="00B8607B">
              <w:rPr>
                <w:noProof/>
                <w:webHidden/>
              </w:rPr>
              <w:instrText xml:space="preserve"> PAGEREF _Toc11494077 \h </w:instrText>
            </w:r>
            <w:r w:rsidR="00B8607B">
              <w:rPr>
                <w:noProof/>
                <w:webHidden/>
              </w:rPr>
            </w:r>
            <w:r w:rsidR="00B8607B">
              <w:rPr>
                <w:noProof/>
                <w:webHidden/>
              </w:rPr>
              <w:fldChar w:fldCharType="separate"/>
            </w:r>
            <w:r w:rsidR="001A57C0">
              <w:rPr>
                <w:noProof/>
                <w:webHidden/>
              </w:rPr>
              <w:t>100</w:t>
            </w:r>
            <w:r w:rsidR="00B8607B">
              <w:rPr>
                <w:noProof/>
                <w:webHidden/>
              </w:rPr>
              <w:fldChar w:fldCharType="end"/>
            </w:r>
          </w:hyperlink>
        </w:p>
        <w:p w14:paraId="1C7E121E" w14:textId="29F82C43" w:rsidR="00B8607B" w:rsidRDefault="00225302">
          <w:pPr>
            <w:pStyle w:val="TOC2"/>
            <w:tabs>
              <w:tab w:val="left" w:pos="880"/>
              <w:tab w:val="right" w:leader="dot" w:pos="9016"/>
            </w:tabs>
            <w:rPr>
              <w:rFonts w:eastAsiaTheme="minorEastAsia"/>
              <w:noProof/>
            </w:rPr>
          </w:pPr>
          <w:hyperlink w:anchor="_Toc11494078" w:history="1">
            <w:r w:rsidR="00B8607B" w:rsidRPr="00CD337F">
              <w:rPr>
                <w:rStyle w:val="Hyperlink"/>
                <w:rFonts w:ascii="Candara" w:hAnsi="Candara"/>
                <w:b/>
                <w:noProof/>
              </w:rPr>
              <w:t>5.4.</w:t>
            </w:r>
            <w:r w:rsidR="00B8607B">
              <w:rPr>
                <w:rFonts w:eastAsiaTheme="minorEastAsia"/>
                <w:noProof/>
              </w:rPr>
              <w:tab/>
            </w:r>
            <w:r w:rsidR="00B8607B" w:rsidRPr="00CD337F">
              <w:rPr>
                <w:rStyle w:val="Hyperlink"/>
                <w:rFonts w:ascii="Candara" w:hAnsi="Candara"/>
                <w:b/>
                <w:noProof/>
              </w:rPr>
              <w:t>General Hospitals &amp; HC IVs not providing eMTCT</w:t>
            </w:r>
            <w:r w:rsidR="00B8607B">
              <w:rPr>
                <w:noProof/>
                <w:webHidden/>
              </w:rPr>
              <w:tab/>
            </w:r>
            <w:r w:rsidR="00B8607B">
              <w:rPr>
                <w:noProof/>
                <w:webHidden/>
              </w:rPr>
              <w:fldChar w:fldCharType="begin"/>
            </w:r>
            <w:r w:rsidR="00B8607B">
              <w:rPr>
                <w:noProof/>
                <w:webHidden/>
              </w:rPr>
              <w:instrText xml:space="preserve"> PAGEREF _Toc11494078 \h </w:instrText>
            </w:r>
            <w:r w:rsidR="00B8607B">
              <w:rPr>
                <w:noProof/>
                <w:webHidden/>
              </w:rPr>
            </w:r>
            <w:r w:rsidR="00B8607B">
              <w:rPr>
                <w:noProof/>
                <w:webHidden/>
              </w:rPr>
              <w:fldChar w:fldCharType="separate"/>
            </w:r>
            <w:r w:rsidR="001A57C0">
              <w:rPr>
                <w:noProof/>
                <w:webHidden/>
              </w:rPr>
              <w:t>100</w:t>
            </w:r>
            <w:r w:rsidR="00B8607B">
              <w:rPr>
                <w:noProof/>
                <w:webHidden/>
              </w:rPr>
              <w:fldChar w:fldCharType="end"/>
            </w:r>
          </w:hyperlink>
        </w:p>
        <w:p w14:paraId="2B89C72A" w14:textId="579BE181" w:rsidR="00B8607B" w:rsidRDefault="00225302">
          <w:pPr>
            <w:pStyle w:val="TOC2"/>
            <w:tabs>
              <w:tab w:val="left" w:pos="880"/>
              <w:tab w:val="right" w:leader="dot" w:pos="9016"/>
            </w:tabs>
            <w:rPr>
              <w:rFonts w:eastAsiaTheme="minorEastAsia"/>
              <w:noProof/>
            </w:rPr>
          </w:pPr>
          <w:hyperlink w:anchor="_Toc11494079" w:history="1">
            <w:r w:rsidR="00B8607B" w:rsidRPr="00CD337F">
              <w:rPr>
                <w:rStyle w:val="Hyperlink"/>
                <w:rFonts w:ascii="Candara" w:hAnsi="Candara"/>
                <w:b/>
                <w:noProof/>
              </w:rPr>
              <w:t>5.5.</w:t>
            </w:r>
            <w:r w:rsidR="00B8607B">
              <w:rPr>
                <w:rFonts w:eastAsiaTheme="minorEastAsia"/>
                <w:noProof/>
              </w:rPr>
              <w:tab/>
            </w:r>
            <w:r w:rsidR="00B8607B" w:rsidRPr="00CD337F">
              <w:rPr>
                <w:rStyle w:val="Hyperlink"/>
                <w:rFonts w:ascii="Candara" w:hAnsi="Candara"/>
                <w:b/>
                <w:noProof/>
              </w:rPr>
              <w:t>General Hospitals &amp; HC IVs not providing HIV Counselling and Testing</w:t>
            </w:r>
            <w:r w:rsidR="00B8607B">
              <w:rPr>
                <w:noProof/>
                <w:webHidden/>
              </w:rPr>
              <w:tab/>
            </w:r>
            <w:r w:rsidR="00B8607B">
              <w:rPr>
                <w:noProof/>
                <w:webHidden/>
              </w:rPr>
              <w:fldChar w:fldCharType="begin"/>
            </w:r>
            <w:r w:rsidR="00B8607B">
              <w:rPr>
                <w:noProof/>
                <w:webHidden/>
              </w:rPr>
              <w:instrText xml:space="preserve"> PAGEREF _Toc11494079 \h </w:instrText>
            </w:r>
            <w:r w:rsidR="00B8607B">
              <w:rPr>
                <w:noProof/>
                <w:webHidden/>
              </w:rPr>
            </w:r>
            <w:r w:rsidR="00B8607B">
              <w:rPr>
                <w:noProof/>
                <w:webHidden/>
              </w:rPr>
              <w:fldChar w:fldCharType="separate"/>
            </w:r>
            <w:r w:rsidR="001A57C0">
              <w:rPr>
                <w:noProof/>
                <w:webHidden/>
              </w:rPr>
              <w:t>101</w:t>
            </w:r>
            <w:r w:rsidR="00B8607B">
              <w:rPr>
                <w:noProof/>
                <w:webHidden/>
              </w:rPr>
              <w:fldChar w:fldCharType="end"/>
            </w:r>
          </w:hyperlink>
        </w:p>
        <w:p w14:paraId="5FAA6DEC" w14:textId="7B7A9B0F" w:rsidR="00B8607B" w:rsidRDefault="00225302">
          <w:pPr>
            <w:pStyle w:val="TOC2"/>
            <w:tabs>
              <w:tab w:val="left" w:pos="880"/>
              <w:tab w:val="right" w:leader="dot" w:pos="9016"/>
            </w:tabs>
            <w:rPr>
              <w:rFonts w:eastAsiaTheme="minorEastAsia"/>
              <w:noProof/>
            </w:rPr>
          </w:pPr>
          <w:hyperlink w:anchor="_Toc11494080" w:history="1">
            <w:r w:rsidR="00B8607B" w:rsidRPr="00CD337F">
              <w:rPr>
                <w:rStyle w:val="Hyperlink"/>
                <w:rFonts w:ascii="Candara" w:hAnsi="Candara"/>
                <w:b/>
                <w:noProof/>
              </w:rPr>
              <w:t>5.6.</w:t>
            </w:r>
            <w:r w:rsidR="00B8607B">
              <w:rPr>
                <w:rFonts w:eastAsiaTheme="minorEastAsia"/>
                <w:noProof/>
              </w:rPr>
              <w:tab/>
            </w:r>
            <w:r w:rsidR="00B8607B" w:rsidRPr="00CD337F">
              <w:rPr>
                <w:rStyle w:val="Hyperlink"/>
                <w:rFonts w:ascii="Candara" w:hAnsi="Candara"/>
                <w:b/>
                <w:noProof/>
              </w:rPr>
              <w:t>General Hospitalss, HC IVs and HC IIIs not offering routine immunization services</w:t>
            </w:r>
            <w:r w:rsidR="00B8607B">
              <w:rPr>
                <w:noProof/>
                <w:webHidden/>
              </w:rPr>
              <w:tab/>
            </w:r>
            <w:r w:rsidR="00B8607B">
              <w:rPr>
                <w:noProof/>
                <w:webHidden/>
              </w:rPr>
              <w:fldChar w:fldCharType="begin"/>
            </w:r>
            <w:r w:rsidR="00B8607B">
              <w:rPr>
                <w:noProof/>
                <w:webHidden/>
              </w:rPr>
              <w:instrText xml:space="preserve"> PAGEREF _Toc11494080 \h </w:instrText>
            </w:r>
            <w:r w:rsidR="00B8607B">
              <w:rPr>
                <w:noProof/>
                <w:webHidden/>
              </w:rPr>
            </w:r>
            <w:r w:rsidR="00B8607B">
              <w:rPr>
                <w:noProof/>
                <w:webHidden/>
              </w:rPr>
              <w:fldChar w:fldCharType="separate"/>
            </w:r>
            <w:r w:rsidR="001A57C0">
              <w:rPr>
                <w:noProof/>
                <w:webHidden/>
              </w:rPr>
              <w:t>101</w:t>
            </w:r>
            <w:r w:rsidR="00B8607B">
              <w:rPr>
                <w:noProof/>
                <w:webHidden/>
              </w:rPr>
              <w:fldChar w:fldCharType="end"/>
            </w:r>
          </w:hyperlink>
        </w:p>
        <w:p w14:paraId="2847E482" w14:textId="4D04CDB6" w:rsidR="00B8607B" w:rsidRDefault="00225302">
          <w:pPr>
            <w:pStyle w:val="TOC2"/>
            <w:tabs>
              <w:tab w:val="left" w:pos="880"/>
              <w:tab w:val="right" w:leader="dot" w:pos="9016"/>
            </w:tabs>
            <w:rPr>
              <w:rFonts w:eastAsiaTheme="minorEastAsia"/>
              <w:noProof/>
            </w:rPr>
          </w:pPr>
          <w:hyperlink w:anchor="_Toc11494081" w:history="1">
            <w:r w:rsidR="00B8607B" w:rsidRPr="00CD337F">
              <w:rPr>
                <w:rStyle w:val="Hyperlink"/>
                <w:rFonts w:ascii="Candara" w:hAnsi="Candara"/>
                <w:b/>
                <w:noProof/>
              </w:rPr>
              <w:t>5.7.</w:t>
            </w:r>
            <w:r w:rsidR="00B8607B">
              <w:rPr>
                <w:rFonts w:eastAsiaTheme="minorEastAsia"/>
                <w:noProof/>
              </w:rPr>
              <w:tab/>
            </w:r>
            <w:r w:rsidR="00B8607B" w:rsidRPr="00CD337F">
              <w:rPr>
                <w:rStyle w:val="Hyperlink"/>
                <w:rFonts w:ascii="Candara" w:hAnsi="Candara"/>
                <w:b/>
                <w:noProof/>
              </w:rPr>
              <w:t>General Hospitals not offering TB services</w:t>
            </w:r>
            <w:r w:rsidR="00B8607B">
              <w:rPr>
                <w:noProof/>
                <w:webHidden/>
              </w:rPr>
              <w:tab/>
            </w:r>
            <w:r w:rsidR="00B8607B">
              <w:rPr>
                <w:noProof/>
                <w:webHidden/>
              </w:rPr>
              <w:fldChar w:fldCharType="begin"/>
            </w:r>
            <w:r w:rsidR="00B8607B">
              <w:rPr>
                <w:noProof/>
                <w:webHidden/>
              </w:rPr>
              <w:instrText xml:space="preserve"> PAGEREF _Toc11494081 \h </w:instrText>
            </w:r>
            <w:r w:rsidR="00B8607B">
              <w:rPr>
                <w:noProof/>
                <w:webHidden/>
              </w:rPr>
            </w:r>
            <w:r w:rsidR="00B8607B">
              <w:rPr>
                <w:noProof/>
                <w:webHidden/>
              </w:rPr>
              <w:fldChar w:fldCharType="separate"/>
            </w:r>
            <w:r w:rsidR="001A57C0">
              <w:rPr>
                <w:noProof/>
                <w:webHidden/>
              </w:rPr>
              <w:t>101</w:t>
            </w:r>
            <w:r w:rsidR="00B8607B">
              <w:rPr>
                <w:noProof/>
                <w:webHidden/>
              </w:rPr>
              <w:fldChar w:fldCharType="end"/>
            </w:r>
          </w:hyperlink>
        </w:p>
        <w:p w14:paraId="691606AC" w14:textId="657115AE" w:rsidR="00B8607B" w:rsidRDefault="00225302">
          <w:pPr>
            <w:pStyle w:val="TOC2"/>
            <w:tabs>
              <w:tab w:val="left" w:pos="880"/>
              <w:tab w:val="right" w:leader="dot" w:pos="9016"/>
            </w:tabs>
            <w:rPr>
              <w:rFonts w:eastAsiaTheme="minorEastAsia"/>
              <w:noProof/>
            </w:rPr>
          </w:pPr>
          <w:hyperlink w:anchor="_Toc11494082" w:history="1">
            <w:r w:rsidR="00B8607B" w:rsidRPr="00CD337F">
              <w:rPr>
                <w:rStyle w:val="Hyperlink"/>
                <w:rFonts w:ascii="Candara" w:hAnsi="Candara"/>
                <w:b/>
                <w:noProof/>
              </w:rPr>
              <w:t>5.8.</w:t>
            </w:r>
            <w:r w:rsidR="00B8607B">
              <w:rPr>
                <w:rFonts w:eastAsiaTheme="minorEastAsia"/>
                <w:noProof/>
              </w:rPr>
              <w:tab/>
            </w:r>
            <w:r w:rsidR="00B8607B" w:rsidRPr="00CD337F">
              <w:rPr>
                <w:rStyle w:val="Hyperlink"/>
                <w:rFonts w:ascii="Candara" w:hAnsi="Candara"/>
                <w:b/>
                <w:noProof/>
              </w:rPr>
              <w:t>HC IIIs and HC IIs not offering malaria services</w:t>
            </w:r>
            <w:r w:rsidR="00B8607B">
              <w:rPr>
                <w:noProof/>
                <w:webHidden/>
              </w:rPr>
              <w:tab/>
            </w:r>
            <w:r w:rsidR="00B8607B">
              <w:rPr>
                <w:noProof/>
                <w:webHidden/>
              </w:rPr>
              <w:fldChar w:fldCharType="begin"/>
            </w:r>
            <w:r w:rsidR="00B8607B">
              <w:rPr>
                <w:noProof/>
                <w:webHidden/>
              </w:rPr>
              <w:instrText xml:space="preserve"> PAGEREF _Toc11494082 \h </w:instrText>
            </w:r>
            <w:r w:rsidR="00B8607B">
              <w:rPr>
                <w:noProof/>
                <w:webHidden/>
              </w:rPr>
            </w:r>
            <w:r w:rsidR="00B8607B">
              <w:rPr>
                <w:noProof/>
                <w:webHidden/>
              </w:rPr>
              <w:fldChar w:fldCharType="separate"/>
            </w:r>
            <w:r w:rsidR="001A57C0">
              <w:rPr>
                <w:noProof/>
                <w:webHidden/>
              </w:rPr>
              <w:t>101</w:t>
            </w:r>
            <w:r w:rsidR="00B8607B">
              <w:rPr>
                <w:noProof/>
                <w:webHidden/>
              </w:rPr>
              <w:fldChar w:fldCharType="end"/>
            </w:r>
          </w:hyperlink>
        </w:p>
        <w:p w14:paraId="0D0ADE36" w14:textId="119941A0" w:rsidR="00B8607B" w:rsidRDefault="00225302">
          <w:pPr>
            <w:pStyle w:val="TOC2"/>
            <w:tabs>
              <w:tab w:val="left" w:pos="880"/>
              <w:tab w:val="right" w:leader="dot" w:pos="9016"/>
            </w:tabs>
            <w:rPr>
              <w:rFonts w:eastAsiaTheme="minorEastAsia"/>
              <w:noProof/>
            </w:rPr>
          </w:pPr>
          <w:hyperlink w:anchor="_Toc11494083" w:history="1">
            <w:r w:rsidR="00B8607B" w:rsidRPr="00CD337F">
              <w:rPr>
                <w:rStyle w:val="Hyperlink"/>
                <w:rFonts w:ascii="Candara" w:hAnsi="Candara"/>
                <w:b/>
                <w:noProof/>
              </w:rPr>
              <w:t>5.9.</w:t>
            </w:r>
            <w:r w:rsidR="00B8607B">
              <w:rPr>
                <w:rFonts w:eastAsiaTheme="minorEastAsia"/>
                <w:noProof/>
              </w:rPr>
              <w:tab/>
            </w:r>
            <w:r w:rsidR="00B8607B" w:rsidRPr="00CD337F">
              <w:rPr>
                <w:rStyle w:val="Hyperlink"/>
                <w:rFonts w:ascii="Candara" w:hAnsi="Candara"/>
                <w:b/>
                <w:noProof/>
              </w:rPr>
              <w:t>RRHs, General Hospitals not offering blood transfusion services</w:t>
            </w:r>
            <w:r w:rsidR="00B8607B">
              <w:rPr>
                <w:noProof/>
                <w:webHidden/>
              </w:rPr>
              <w:tab/>
            </w:r>
            <w:r w:rsidR="00B8607B">
              <w:rPr>
                <w:noProof/>
                <w:webHidden/>
              </w:rPr>
              <w:fldChar w:fldCharType="begin"/>
            </w:r>
            <w:r w:rsidR="00B8607B">
              <w:rPr>
                <w:noProof/>
                <w:webHidden/>
              </w:rPr>
              <w:instrText xml:space="preserve"> PAGEREF _Toc11494083 \h </w:instrText>
            </w:r>
            <w:r w:rsidR="00B8607B">
              <w:rPr>
                <w:noProof/>
                <w:webHidden/>
              </w:rPr>
            </w:r>
            <w:r w:rsidR="00B8607B">
              <w:rPr>
                <w:noProof/>
                <w:webHidden/>
              </w:rPr>
              <w:fldChar w:fldCharType="separate"/>
            </w:r>
            <w:r w:rsidR="001A57C0">
              <w:rPr>
                <w:noProof/>
                <w:webHidden/>
              </w:rPr>
              <w:t>102</w:t>
            </w:r>
            <w:r w:rsidR="00B8607B">
              <w:rPr>
                <w:noProof/>
                <w:webHidden/>
              </w:rPr>
              <w:fldChar w:fldCharType="end"/>
            </w:r>
          </w:hyperlink>
        </w:p>
        <w:p w14:paraId="47346D92" w14:textId="1199EACE" w:rsidR="00D2350C" w:rsidRPr="0016235B" w:rsidRDefault="00D2350C">
          <w:pPr>
            <w:rPr>
              <w:rFonts w:ascii="Candara" w:hAnsi="Candara"/>
            </w:rPr>
          </w:pPr>
          <w:r w:rsidRPr="0016235B">
            <w:rPr>
              <w:rFonts w:ascii="Candara" w:hAnsi="Candara"/>
              <w:b/>
              <w:bCs/>
              <w:noProof/>
            </w:rPr>
            <w:fldChar w:fldCharType="end"/>
          </w:r>
        </w:p>
      </w:sdtContent>
    </w:sdt>
    <w:p w14:paraId="2D08A5AD" w14:textId="77777777" w:rsidR="00803EE2" w:rsidRPr="0016235B" w:rsidRDefault="00803EE2">
      <w:pPr>
        <w:rPr>
          <w:rFonts w:ascii="Candara" w:hAnsi="Candara"/>
          <w:b/>
          <w:sz w:val="28"/>
          <w:szCs w:val="28"/>
        </w:rPr>
      </w:pPr>
      <w:r w:rsidRPr="0016235B">
        <w:rPr>
          <w:rFonts w:ascii="Candara" w:hAnsi="Candara"/>
          <w:b/>
          <w:sz w:val="28"/>
          <w:szCs w:val="28"/>
        </w:rPr>
        <w:br w:type="page"/>
      </w:r>
    </w:p>
    <w:p w14:paraId="4E5F0633" w14:textId="77777777" w:rsidR="00803EE2" w:rsidRPr="0016235B" w:rsidRDefault="00803EE2" w:rsidP="00B15C32">
      <w:pPr>
        <w:pStyle w:val="Heading1"/>
        <w:rPr>
          <w:rFonts w:ascii="Candara" w:hAnsi="Candara"/>
          <w:b/>
          <w:sz w:val="28"/>
          <w:szCs w:val="28"/>
        </w:rPr>
      </w:pPr>
      <w:bookmarkStart w:id="4" w:name="_Toc11494017"/>
      <w:r w:rsidRPr="0016235B">
        <w:rPr>
          <w:rFonts w:ascii="Candara" w:hAnsi="Candara"/>
          <w:b/>
          <w:sz w:val="28"/>
          <w:szCs w:val="28"/>
        </w:rPr>
        <w:lastRenderedPageBreak/>
        <w:t>Acronyms</w:t>
      </w:r>
      <w:bookmarkEnd w:id="4"/>
    </w:p>
    <w:p w14:paraId="1110ABC8" w14:textId="77777777" w:rsidR="001553B8" w:rsidRPr="0016235B" w:rsidRDefault="001553B8">
      <w:pPr>
        <w:rPr>
          <w:rFonts w:ascii="Candara" w:hAnsi="Candara"/>
          <w:sz w:val="24"/>
          <w:szCs w:val="24"/>
        </w:rPr>
      </w:pPr>
    </w:p>
    <w:p w14:paraId="3D4C2C47" w14:textId="3C9374A9" w:rsidR="00147129" w:rsidRDefault="00147129" w:rsidP="00E21C44">
      <w:pPr>
        <w:jc w:val="both"/>
        <w:rPr>
          <w:rFonts w:ascii="Candara" w:eastAsia="MS Mincho" w:hAnsi="Candara"/>
          <w:sz w:val="24"/>
          <w:szCs w:val="24"/>
        </w:rPr>
      </w:pPr>
      <w:r>
        <w:rPr>
          <w:rFonts w:ascii="Candara" w:eastAsia="MS Mincho" w:hAnsi="Candara"/>
          <w:sz w:val="24"/>
          <w:szCs w:val="24"/>
        </w:rPr>
        <w:t>ACT</w:t>
      </w:r>
      <w:r>
        <w:rPr>
          <w:rFonts w:ascii="Candara" w:eastAsia="MS Mincho" w:hAnsi="Candara"/>
          <w:sz w:val="24"/>
          <w:szCs w:val="24"/>
        </w:rPr>
        <w:tab/>
      </w:r>
      <w:r>
        <w:rPr>
          <w:rFonts w:ascii="Candara" w:eastAsia="MS Mincho" w:hAnsi="Candara"/>
          <w:sz w:val="24"/>
          <w:szCs w:val="24"/>
        </w:rPr>
        <w:tab/>
      </w:r>
      <w:r w:rsidR="002663B1">
        <w:rPr>
          <w:rFonts w:ascii="Candara" w:eastAsia="MS Mincho" w:hAnsi="Candara"/>
          <w:sz w:val="24"/>
          <w:szCs w:val="24"/>
        </w:rPr>
        <w:t>Artemisinin</w:t>
      </w:r>
      <w:r w:rsidR="00AA3F4C">
        <w:rPr>
          <w:rFonts w:ascii="Candara" w:eastAsia="MS Mincho" w:hAnsi="Candara"/>
          <w:sz w:val="24"/>
          <w:szCs w:val="24"/>
        </w:rPr>
        <w:t>-based Combination Therapy</w:t>
      </w:r>
    </w:p>
    <w:p w14:paraId="51CC5849" w14:textId="01232B99" w:rsidR="00986063" w:rsidRDefault="00986063" w:rsidP="00E21C44">
      <w:pPr>
        <w:jc w:val="both"/>
        <w:rPr>
          <w:rFonts w:ascii="Candara" w:eastAsia="MS Mincho" w:hAnsi="Candara"/>
          <w:sz w:val="24"/>
          <w:szCs w:val="24"/>
        </w:rPr>
      </w:pPr>
      <w:r>
        <w:rPr>
          <w:rFonts w:ascii="Candara" w:eastAsia="MS Mincho" w:hAnsi="Candara"/>
          <w:sz w:val="24"/>
          <w:szCs w:val="24"/>
        </w:rPr>
        <w:t>ANC</w:t>
      </w:r>
      <w:r>
        <w:rPr>
          <w:rFonts w:ascii="Candara" w:eastAsia="MS Mincho" w:hAnsi="Candara"/>
          <w:sz w:val="24"/>
          <w:szCs w:val="24"/>
        </w:rPr>
        <w:tab/>
      </w:r>
      <w:r>
        <w:rPr>
          <w:rFonts w:ascii="Candara" w:eastAsia="MS Mincho" w:hAnsi="Candara"/>
          <w:sz w:val="24"/>
          <w:szCs w:val="24"/>
        </w:rPr>
        <w:tab/>
        <w:t>Antenatal Care</w:t>
      </w:r>
    </w:p>
    <w:p w14:paraId="479AD2ED" w14:textId="05146747" w:rsidR="001553B8" w:rsidRPr="0016235B" w:rsidRDefault="00E21C44" w:rsidP="00E21C44">
      <w:pPr>
        <w:jc w:val="both"/>
        <w:rPr>
          <w:rFonts w:ascii="Candara" w:eastAsia="MS Mincho" w:hAnsi="Candara"/>
          <w:sz w:val="24"/>
          <w:szCs w:val="24"/>
        </w:rPr>
      </w:pPr>
      <w:proofErr w:type="spellStart"/>
      <w:r w:rsidRPr="0016235B">
        <w:rPr>
          <w:rFonts w:ascii="Candara" w:eastAsia="MS Mincho" w:hAnsi="Candara"/>
          <w:sz w:val="24"/>
          <w:szCs w:val="24"/>
        </w:rPr>
        <w:t>BEmOC</w:t>
      </w:r>
      <w:proofErr w:type="spellEnd"/>
      <w:r w:rsidRPr="0016235B">
        <w:rPr>
          <w:rFonts w:ascii="Candara" w:eastAsia="MS Mincho" w:hAnsi="Candara"/>
          <w:sz w:val="24"/>
          <w:szCs w:val="24"/>
        </w:rPr>
        <w:t xml:space="preserve"> </w:t>
      </w:r>
      <w:r w:rsidRPr="0016235B">
        <w:rPr>
          <w:rFonts w:ascii="Candara" w:eastAsia="MS Mincho" w:hAnsi="Candara"/>
          <w:sz w:val="24"/>
          <w:szCs w:val="24"/>
        </w:rPr>
        <w:tab/>
        <w:t>Basic Emergency Obstetric Care</w:t>
      </w:r>
    </w:p>
    <w:p w14:paraId="2A5BC87E" w14:textId="75FDF36D" w:rsidR="00E21C44" w:rsidRPr="0016235B" w:rsidRDefault="00E21C44" w:rsidP="00227641">
      <w:pPr>
        <w:jc w:val="both"/>
        <w:rPr>
          <w:rFonts w:ascii="Candara" w:eastAsia="MS Mincho" w:hAnsi="Candara"/>
          <w:sz w:val="24"/>
          <w:szCs w:val="24"/>
        </w:rPr>
      </w:pPr>
      <w:proofErr w:type="spellStart"/>
      <w:r w:rsidRPr="0016235B">
        <w:rPr>
          <w:rFonts w:ascii="Candara" w:eastAsia="MS Mincho" w:hAnsi="Candara"/>
          <w:sz w:val="24"/>
          <w:szCs w:val="24"/>
        </w:rPr>
        <w:t>CEmOC</w:t>
      </w:r>
      <w:proofErr w:type="spellEnd"/>
      <w:r w:rsidRPr="0016235B">
        <w:rPr>
          <w:rFonts w:ascii="Candara" w:eastAsia="MS Mincho" w:hAnsi="Candara"/>
          <w:sz w:val="24"/>
          <w:szCs w:val="24"/>
        </w:rPr>
        <w:t xml:space="preserve"> </w:t>
      </w:r>
      <w:r w:rsidRPr="0016235B">
        <w:rPr>
          <w:rFonts w:ascii="Candara" w:eastAsia="MS Mincho" w:hAnsi="Candara"/>
          <w:sz w:val="24"/>
          <w:szCs w:val="24"/>
        </w:rPr>
        <w:tab/>
        <w:t>Comprehensive Emergency Obstetric Care</w:t>
      </w:r>
    </w:p>
    <w:p w14:paraId="4936A1AE" w14:textId="77777777" w:rsidR="00455B85" w:rsidRPr="0016235B" w:rsidRDefault="005018D9" w:rsidP="00227641">
      <w:pPr>
        <w:jc w:val="both"/>
        <w:rPr>
          <w:rFonts w:ascii="Candara" w:eastAsia="MS Mincho" w:hAnsi="Candara"/>
          <w:sz w:val="24"/>
          <w:szCs w:val="24"/>
        </w:rPr>
      </w:pPr>
      <w:proofErr w:type="spellStart"/>
      <w:r w:rsidRPr="0016235B">
        <w:rPr>
          <w:rFonts w:ascii="Candara" w:eastAsia="MS Mincho" w:hAnsi="Candara"/>
          <w:sz w:val="24"/>
          <w:szCs w:val="24"/>
        </w:rPr>
        <w:t>CSPro</w:t>
      </w:r>
      <w:proofErr w:type="spellEnd"/>
      <w:r w:rsidRPr="0016235B">
        <w:rPr>
          <w:rFonts w:ascii="Candara" w:eastAsia="MS Mincho" w:hAnsi="Candara"/>
          <w:sz w:val="24"/>
          <w:szCs w:val="24"/>
        </w:rPr>
        <w:tab/>
      </w:r>
      <w:r w:rsidRPr="0016235B">
        <w:rPr>
          <w:rFonts w:ascii="Candara" w:eastAsia="MS Mincho" w:hAnsi="Candara"/>
          <w:sz w:val="24"/>
          <w:szCs w:val="24"/>
        </w:rPr>
        <w:tab/>
        <w:t>Census and Survey Processing System</w:t>
      </w:r>
    </w:p>
    <w:p w14:paraId="73DD359C" w14:textId="77777777" w:rsidR="00455B85" w:rsidRPr="0016235B" w:rsidRDefault="00455B85" w:rsidP="00227641">
      <w:pPr>
        <w:jc w:val="both"/>
        <w:rPr>
          <w:rFonts w:ascii="Candara" w:eastAsia="MS Mincho" w:hAnsi="Candara"/>
          <w:sz w:val="24"/>
          <w:szCs w:val="24"/>
        </w:rPr>
      </w:pPr>
      <w:r w:rsidRPr="0016235B">
        <w:rPr>
          <w:rFonts w:ascii="Candara" w:eastAsia="MS Mincho" w:hAnsi="Candara"/>
          <w:sz w:val="24"/>
          <w:szCs w:val="24"/>
        </w:rPr>
        <w:t>DQR</w:t>
      </w:r>
      <w:r w:rsidRPr="0016235B">
        <w:rPr>
          <w:rFonts w:ascii="Candara" w:eastAsia="MS Mincho" w:hAnsi="Candara"/>
          <w:sz w:val="24"/>
          <w:szCs w:val="24"/>
        </w:rPr>
        <w:tab/>
      </w:r>
      <w:r w:rsidRPr="0016235B">
        <w:rPr>
          <w:rFonts w:ascii="Candara" w:eastAsia="MS Mincho" w:hAnsi="Candara"/>
          <w:sz w:val="24"/>
          <w:szCs w:val="24"/>
        </w:rPr>
        <w:tab/>
        <w:t>Data Quality Review</w:t>
      </w:r>
    </w:p>
    <w:p w14:paraId="2A709B4E" w14:textId="7EAE18F0" w:rsidR="005018D9" w:rsidRDefault="00455B85" w:rsidP="00227641">
      <w:pPr>
        <w:jc w:val="both"/>
        <w:rPr>
          <w:rFonts w:ascii="Candara" w:eastAsia="MS Mincho" w:hAnsi="Candara"/>
          <w:sz w:val="24"/>
          <w:szCs w:val="24"/>
        </w:rPr>
      </w:pPr>
      <w:r w:rsidRPr="0016235B">
        <w:rPr>
          <w:rFonts w:ascii="Candara" w:eastAsia="MS Mincho" w:hAnsi="Candara"/>
          <w:sz w:val="24"/>
          <w:szCs w:val="24"/>
        </w:rPr>
        <w:t>DQA</w:t>
      </w:r>
      <w:r w:rsidRPr="0016235B">
        <w:rPr>
          <w:rFonts w:ascii="Candara" w:eastAsia="MS Mincho" w:hAnsi="Candara"/>
          <w:sz w:val="24"/>
          <w:szCs w:val="24"/>
        </w:rPr>
        <w:tab/>
      </w:r>
      <w:r w:rsidRPr="0016235B">
        <w:rPr>
          <w:rFonts w:ascii="Candara" w:eastAsia="MS Mincho" w:hAnsi="Candara"/>
          <w:sz w:val="24"/>
          <w:szCs w:val="24"/>
        </w:rPr>
        <w:tab/>
        <w:t>Data Quality Assessment</w:t>
      </w:r>
      <w:r w:rsidR="005018D9" w:rsidRPr="0016235B">
        <w:rPr>
          <w:rFonts w:ascii="Candara" w:eastAsia="MS Mincho" w:hAnsi="Candara"/>
          <w:sz w:val="24"/>
          <w:szCs w:val="24"/>
        </w:rPr>
        <w:t xml:space="preserve"> </w:t>
      </w:r>
    </w:p>
    <w:p w14:paraId="77FFB83A" w14:textId="1E5F389E" w:rsidR="00147129" w:rsidRDefault="00147129" w:rsidP="00227641">
      <w:pPr>
        <w:jc w:val="both"/>
        <w:rPr>
          <w:rFonts w:ascii="Candara" w:eastAsia="MS Mincho" w:hAnsi="Candara"/>
          <w:sz w:val="24"/>
          <w:szCs w:val="24"/>
        </w:rPr>
      </w:pPr>
      <w:proofErr w:type="spellStart"/>
      <w:r>
        <w:rPr>
          <w:rFonts w:ascii="Candara" w:eastAsia="MS Mincho" w:hAnsi="Candara"/>
          <w:sz w:val="24"/>
          <w:szCs w:val="24"/>
        </w:rPr>
        <w:t>eMTCT</w:t>
      </w:r>
      <w:proofErr w:type="spellEnd"/>
      <w:r>
        <w:rPr>
          <w:rFonts w:ascii="Candara" w:eastAsia="MS Mincho" w:hAnsi="Candara"/>
          <w:sz w:val="24"/>
          <w:szCs w:val="24"/>
        </w:rPr>
        <w:tab/>
      </w:r>
      <w:r>
        <w:rPr>
          <w:rFonts w:ascii="Candara" w:eastAsia="MS Mincho" w:hAnsi="Candara"/>
          <w:sz w:val="24"/>
          <w:szCs w:val="24"/>
        </w:rPr>
        <w:tab/>
      </w:r>
      <w:r w:rsidR="00AA3F4C">
        <w:rPr>
          <w:rFonts w:ascii="Candara" w:eastAsia="MS Mincho" w:hAnsi="Candara"/>
          <w:sz w:val="24"/>
          <w:szCs w:val="24"/>
        </w:rPr>
        <w:t>Elimination of Mother to Child Transmission of HIV/AIDS</w:t>
      </w:r>
    </w:p>
    <w:p w14:paraId="53D7CF16" w14:textId="04A4CFCE" w:rsidR="00147129" w:rsidRPr="0016235B" w:rsidRDefault="00147129" w:rsidP="00227641">
      <w:pPr>
        <w:jc w:val="both"/>
        <w:rPr>
          <w:rFonts w:ascii="Candara" w:eastAsia="MS Mincho" w:hAnsi="Candara"/>
          <w:sz w:val="24"/>
          <w:szCs w:val="24"/>
        </w:rPr>
      </w:pPr>
      <w:r>
        <w:rPr>
          <w:rFonts w:ascii="Candara" w:eastAsia="MS Mincho" w:hAnsi="Candara"/>
          <w:sz w:val="24"/>
          <w:szCs w:val="24"/>
        </w:rPr>
        <w:t>FDC</w:t>
      </w:r>
      <w:r>
        <w:rPr>
          <w:rFonts w:ascii="Candara" w:eastAsia="MS Mincho" w:hAnsi="Candara"/>
          <w:sz w:val="24"/>
          <w:szCs w:val="24"/>
        </w:rPr>
        <w:tab/>
      </w:r>
      <w:r>
        <w:rPr>
          <w:rFonts w:ascii="Candara" w:eastAsia="MS Mincho" w:hAnsi="Candara"/>
          <w:sz w:val="24"/>
          <w:szCs w:val="24"/>
        </w:rPr>
        <w:tab/>
      </w:r>
      <w:r w:rsidR="00AA3F4C">
        <w:rPr>
          <w:rFonts w:ascii="Candara" w:eastAsia="MS Mincho" w:hAnsi="Candara"/>
          <w:sz w:val="24"/>
          <w:szCs w:val="24"/>
        </w:rPr>
        <w:t>Fixed Dose Combination</w:t>
      </w:r>
    </w:p>
    <w:p w14:paraId="2311F72C" w14:textId="4658910B" w:rsidR="001553B8" w:rsidRPr="0016235B" w:rsidRDefault="001553B8" w:rsidP="00227641">
      <w:pPr>
        <w:jc w:val="both"/>
        <w:rPr>
          <w:rFonts w:ascii="Candara" w:eastAsia="MS Mincho" w:hAnsi="Candara"/>
          <w:sz w:val="24"/>
          <w:szCs w:val="24"/>
        </w:rPr>
      </w:pPr>
      <w:r w:rsidRPr="0016235B">
        <w:rPr>
          <w:rFonts w:ascii="Candara" w:eastAsia="MS Mincho" w:hAnsi="Candara"/>
          <w:sz w:val="24"/>
          <w:szCs w:val="24"/>
        </w:rPr>
        <w:t>HFA</w:t>
      </w:r>
      <w:r w:rsidRPr="0016235B">
        <w:rPr>
          <w:rFonts w:ascii="Candara" w:eastAsia="MS Mincho" w:hAnsi="Candara"/>
          <w:sz w:val="24"/>
          <w:szCs w:val="24"/>
        </w:rPr>
        <w:tab/>
      </w:r>
      <w:r w:rsidRPr="0016235B">
        <w:rPr>
          <w:rFonts w:ascii="Candara" w:eastAsia="MS Mincho" w:hAnsi="Candara"/>
          <w:sz w:val="24"/>
          <w:szCs w:val="24"/>
        </w:rPr>
        <w:tab/>
      </w:r>
      <w:r w:rsidR="00EF0F18" w:rsidRPr="0016235B">
        <w:rPr>
          <w:rFonts w:ascii="Candara" w:eastAsia="MS Mincho" w:hAnsi="Candara"/>
          <w:sz w:val="24"/>
          <w:szCs w:val="24"/>
        </w:rPr>
        <w:t>Health Facility Assessments</w:t>
      </w:r>
    </w:p>
    <w:p w14:paraId="199A9B94" w14:textId="61CB3778" w:rsidR="001553B8" w:rsidRPr="0016235B" w:rsidRDefault="001553B8" w:rsidP="00227641">
      <w:pPr>
        <w:jc w:val="both"/>
        <w:rPr>
          <w:rFonts w:ascii="Candara" w:eastAsia="MS Mincho" w:hAnsi="Candara"/>
          <w:sz w:val="24"/>
          <w:szCs w:val="24"/>
        </w:rPr>
      </w:pPr>
      <w:r w:rsidRPr="0016235B">
        <w:rPr>
          <w:rFonts w:ascii="Candara" w:eastAsia="MS Mincho" w:hAnsi="Candara"/>
          <w:sz w:val="24"/>
          <w:szCs w:val="24"/>
        </w:rPr>
        <w:t xml:space="preserve">HFS </w:t>
      </w:r>
      <w:r w:rsidR="00EF0F18" w:rsidRPr="0016235B">
        <w:rPr>
          <w:rFonts w:ascii="Candara" w:eastAsia="MS Mincho" w:hAnsi="Candara"/>
          <w:sz w:val="24"/>
          <w:szCs w:val="24"/>
        </w:rPr>
        <w:tab/>
      </w:r>
      <w:r w:rsidR="00EF0F18" w:rsidRPr="0016235B">
        <w:rPr>
          <w:rFonts w:ascii="Candara" w:eastAsia="MS Mincho" w:hAnsi="Candara"/>
          <w:sz w:val="24"/>
          <w:szCs w:val="24"/>
        </w:rPr>
        <w:tab/>
      </w:r>
      <w:r w:rsidRPr="0016235B">
        <w:rPr>
          <w:rFonts w:ascii="Candara" w:eastAsia="MS Mincho" w:hAnsi="Candara"/>
          <w:sz w:val="24"/>
          <w:szCs w:val="24"/>
        </w:rPr>
        <w:t>Health Facility Surveys</w:t>
      </w:r>
    </w:p>
    <w:p w14:paraId="7EF0EF06" w14:textId="7C0EC2F8" w:rsidR="00227641" w:rsidRPr="0016235B" w:rsidRDefault="00227641" w:rsidP="00227641">
      <w:pPr>
        <w:jc w:val="both"/>
        <w:rPr>
          <w:rFonts w:ascii="Candara" w:eastAsia="MS Mincho" w:hAnsi="Candara"/>
          <w:sz w:val="24"/>
          <w:szCs w:val="24"/>
        </w:rPr>
      </w:pPr>
      <w:r w:rsidRPr="0016235B">
        <w:rPr>
          <w:rFonts w:ascii="Candara" w:eastAsia="MS Mincho" w:hAnsi="Candara"/>
          <w:sz w:val="24"/>
          <w:szCs w:val="24"/>
        </w:rPr>
        <w:t>HSDP</w:t>
      </w:r>
      <w:r w:rsidRPr="0016235B">
        <w:rPr>
          <w:rFonts w:ascii="Candara" w:eastAsia="MS Mincho" w:hAnsi="Candara"/>
          <w:sz w:val="24"/>
          <w:szCs w:val="24"/>
        </w:rPr>
        <w:tab/>
      </w:r>
      <w:r w:rsidRPr="0016235B">
        <w:rPr>
          <w:rFonts w:ascii="Candara" w:eastAsia="MS Mincho" w:hAnsi="Candara"/>
          <w:sz w:val="24"/>
          <w:szCs w:val="24"/>
        </w:rPr>
        <w:tab/>
        <w:t>Health Sector Development Plan</w:t>
      </w:r>
    </w:p>
    <w:p w14:paraId="37F0188A" w14:textId="59D464B3" w:rsidR="00E21C44" w:rsidRDefault="00E21C44" w:rsidP="00227641">
      <w:pPr>
        <w:jc w:val="both"/>
        <w:rPr>
          <w:rFonts w:ascii="Candara" w:eastAsia="MS Mincho" w:hAnsi="Candara"/>
          <w:sz w:val="24"/>
          <w:szCs w:val="24"/>
        </w:rPr>
      </w:pPr>
      <w:r w:rsidRPr="0016235B">
        <w:rPr>
          <w:rFonts w:ascii="Candara" w:eastAsia="MS Mincho" w:hAnsi="Candara"/>
          <w:sz w:val="24"/>
          <w:szCs w:val="24"/>
        </w:rPr>
        <w:t xml:space="preserve">IPTp </w:t>
      </w:r>
      <w:r w:rsidRPr="0016235B">
        <w:rPr>
          <w:rFonts w:ascii="Candara" w:eastAsia="MS Mincho" w:hAnsi="Candara"/>
          <w:sz w:val="24"/>
          <w:szCs w:val="24"/>
        </w:rPr>
        <w:tab/>
      </w:r>
      <w:r w:rsidRPr="0016235B">
        <w:rPr>
          <w:rFonts w:ascii="Candara" w:eastAsia="MS Mincho" w:hAnsi="Candara"/>
          <w:sz w:val="24"/>
          <w:szCs w:val="24"/>
        </w:rPr>
        <w:tab/>
        <w:t>Intermittent Preventive Treatment in pregnancy</w:t>
      </w:r>
    </w:p>
    <w:p w14:paraId="442801C4" w14:textId="135CC0E3" w:rsidR="00AA3F4C" w:rsidRPr="0016235B" w:rsidRDefault="00AA3F4C" w:rsidP="00227641">
      <w:pPr>
        <w:jc w:val="both"/>
        <w:rPr>
          <w:rFonts w:ascii="Candara" w:eastAsia="MS Mincho" w:hAnsi="Candara"/>
          <w:sz w:val="24"/>
          <w:szCs w:val="24"/>
        </w:rPr>
      </w:pPr>
      <w:r>
        <w:rPr>
          <w:rFonts w:ascii="Candara" w:eastAsia="MS Mincho" w:hAnsi="Candara"/>
          <w:sz w:val="24"/>
          <w:szCs w:val="24"/>
        </w:rPr>
        <w:t>ITNs</w:t>
      </w:r>
      <w:r>
        <w:rPr>
          <w:rFonts w:ascii="Candara" w:eastAsia="MS Mincho" w:hAnsi="Candara"/>
          <w:sz w:val="24"/>
          <w:szCs w:val="24"/>
        </w:rPr>
        <w:tab/>
      </w:r>
      <w:r>
        <w:rPr>
          <w:rFonts w:ascii="Candara" w:eastAsia="MS Mincho" w:hAnsi="Candara"/>
          <w:sz w:val="24"/>
          <w:szCs w:val="24"/>
        </w:rPr>
        <w:tab/>
        <w:t>Insecticide Treated Nets</w:t>
      </w:r>
    </w:p>
    <w:p w14:paraId="71CFFD9C" w14:textId="33CBB1E1" w:rsidR="00455B85" w:rsidRPr="0016235B" w:rsidRDefault="00455B85" w:rsidP="00227641">
      <w:pPr>
        <w:jc w:val="both"/>
        <w:rPr>
          <w:rFonts w:ascii="Candara" w:hAnsi="Candara"/>
          <w:sz w:val="24"/>
          <w:szCs w:val="24"/>
        </w:rPr>
      </w:pPr>
      <w:r w:rsidRPr="0016235B">
        <w:rPr>
          <w:rFonts w:ascii="Candara" w:hAnsi="Candara"/>
          <w:sz w:val="24"/>
          <w:szCs w:val="24"/>
        </w:rPr>
        <w:t>MOH</w:t>
      </w:r>
      <w:r w:rsidRPr="0016235B">
        <w:rPr>
          <w:rFonts w:ascii="Candara" w:hAnsi="Candara"/>
          <w:sz w:val="24"/>
          <w:szCs w:val="24"/>
        </w:rPr>
        <w:tab/>
      </w:r>
      <w:r w:rsidRPr="0016235B">
        <w:rPr>
          <w:rFonts w:ascii="Candara" w:hAnsi="Candara"/>
          <w:sz w:val="24"/>
          <w:szCs w:val="24"/>
        </w:rPr>
        <w:tab/>
        <w:t>Ministry of Health</w:t>
      </w:r>
    </w:p>
    <w:p w14:paraId="5DF26E82" w14:textId="5027C128" w:rsidR="00227641" w:rsidRPr="0016235B" w:rsidRDefault="00227641" w:rsidP="00227641">
      <w:pPr>
        <w:jc w:val="both"/>
        <w:rPr>
          <w:rFonts w:ascii="Candara" w:hAnsi="Candara"/>
          <w:sz w:val="24"/>
          <w:szCs w:val="24"/>
        </w:rPr>
      </w:pPr>
      <w:r w:rsidRPr="0016235B">
        <w:rPr>
          <w:rFonts w:ascii="Candara" w:eastAsia="MS Mincho" w:hAnsi="Candara"/>
          <w:sz w:val="24"/>
          <w:szCs w:val="24"/>
        </w:rPr>
        <w:t xml:space="preserve">NCDs </w:t>
      </w:r>
      <w:r w:rsidRPr="0016235B">
        <w:rPr>
          <w:rFonts w:ascii="Candara" w:eastAsia="MS Mincho" w:hAnsi="Candara"/>
          <w:sz w:val="24"/>
          <w:szCs w:val="24"/>
        </w:rPr>
        <w:tab/>
      </w:r>
      <w:r w:rsidRPr="0016235B">
        <w:rPr>
          <w:rFonts w:ascii="Candara" w:eastAsia="MS Mincho" w:hAnsi="Candara"/>
          <w:sz w:val="24"/>
          <w:szCs w:val="24"/>
        </w:rPr>
        <w:tab/>
        <w:t>Non-Communicable Diseases</w:t>
      </w:r>
    </w:p>
    <w:p w14:paraId="5B4F2932" w14:textId="1D75C492" w:rsidR="001553B8" w:rsidRDefault="001553B8" w:rsidP="00227641">
      <w:pPr>
        <w:jc w:val="both"/>
        <w:rPr>
          <w:rFonts w:ascii="Candara" w:hAnsi="Candara"/>
          <w:sz w:val="24"/>
          <w:szCs w:val="24"/>
        </w:rPr>
      </w:pPr>
      <w:r w:rsidRPr="0016235B">
        <w:rPr>
          <w:rFonts w:ascii="Candara" w:hAnsi="Candara"/>
          <w:sz w:val="24"/>
          <w:szCs w:val="24"/>
        </w:rPr>
        <w:t>NDP</w:t>
      </w:r>
      <w:r w:rsidRPr="0016235B">
        <w:rPr>
          <w:rFonts w:ascii="Candara" w:hAnsi="Candara"/>
          <w:sz w:val="24"/>
          <w:szCs w:val="24"/>
        </w:rPr>
        <w:tab/>
      </w:r>
      <w:r w:rsidRPr="0016235B">
        <w:rPr>
          <w:rFonts w:ascii="Candara" w:hAnsi="Candara"/>
          <w:sz w:val="24"/>
          <w:szCs w:val="24"/>
        </w:rPr>
        <w:tab/>
        <w:t>National Development Plan</w:t>
      </w:r>
    </w:p>
    <w:p w14:paraId="4A02D939" w14:textId="5606B180" w:rsidR="00147129" w:rsidRPr="0016235B" w:rsidRDefault="00147129" w:rsidP="00227641">
      <w:pPr>
        <w:jc w:val="both"/>
        <w:rPr>
          <w:rFonts w:ascii="Candara" w:hAnsi="Candara"/>
          <w:sz w:val="24"/>
          <w:szCs w:val="24"/>
        </w:rPr>
      </w:pPr>
      <w:r>
        <w:rPr>
          <w:rFonts w:ascii="Candara" w:hAnsi="Candara"/>
          <w:sz w:val="24"/>
          <w:szCs w:val="24"/>
        </w:rPr>
        <w:t>RDTs</w:t>
      </w:r>
      <w:r>
        <w:rPr>
          <w:rFonts w:ascii="Candara" w:hAnsi="Candara"/>
          <w:sz w:val="24"/>
          <w:szCs w:val="24"/>
        </w:rPr>
        <w:tab/>
      </w:r>
      <w:r>
        <w:rPr>
          <w:rFonts w:ascii="Candara" w:hAnsi="Candara"/>
          <w:sz w:val="24"/>
          <w:szCs w:val="24"/>
        </w:rPr>
        <w:tab/>
      </w:r>
      <w:r w:rsidR="00AA3F4C">
        <w:rPr>
          <w:rFonts w:ascii="Candara" w:hAnsi="Candara"/>
          <w:sz w:val="24"/>
          <w:szCs w:val="24"/>
        </w:rPr>
        <w:t>Rapid Diagnostic Tests</w:t>
      </w:r>
    </w:p>
    <w:p w14:paraId="092600CC" w14:textId="686080EE" w:rsidR="005018D9" w:rsidRDefault="005018D9" w:rsidP="00227641">
      <w:pPr>
        <w:jc w:val="both"/>
        <w:rPr>
          <w:rFonts w:ascii="Candara" w:hAnsi="Candara"/>
          <w:sz w:val="24"/>
          <w:szCs w:val="24"/>
        </w:rPr>
      </w:pPr>
      <w:r w:rsidRPr="0016235B">
        <w:rPr>
          <w:rFonts w:ascii="Candara" w:hAnsi="Candara"/>
          <w:sz w:val="24"/>
          <w:szCs w:val="24"/>
        </w:rPr>
        <w:t>SARA</w:t>
      </w:r>
      <w:r w:rsidR="00455B85" w:rsidRPr="0016235B">
        <w:rPr>
          <w:rFonts w:ascii="Candara" w:hAnsi="Candara"/>
          <w:sz w:val="24"/>
          <w:szCs w:val="24"/>
        </w:rPr>
        <w:tab/>
      </w:r>
      <w:r w:rsidR="00455B85" w:rsidRPr="0016235B">
        <w:rPr>
          <w:rFonts w:ascii="Candara" w:hAnsi="Candara"/>
          <w:sz w:val="24"/>
          <w:szCs w:val="24"/>
        </w:rPr>
        <w:tab/>
        <w:t>Service Availability and Readiness Assessment</w:t>
      </w:r>
    </w:p>
    <w:p w14:paraId="593F1AB4" w14:textId="3DDA2DB8" w:rsidR="00AA3F4C" w:rsidRPr="0016235B" w:rsidRDefault="00AA3F4C" w:rsidP="00227641">
      <w:pPr>
        <w:jc w:val="both"/>
        <w:rPr>
          <w:rFonts w:ascii="Candara" w:hAnsi="Candara"/>
          <w:sz w:val="24"/>
          <w:szCs w:val="24"/>
        </w:rPr>
      </w:pPr>
      <w:r>
        <w:rPr>
          <w:rFonts w:ascii="Candara" w:hAnsi="Candara"/>
          <w:sz w:val="24"/>
          <w:szCs w:val="24"/>
        </w:rPr>
        <w:t>SP</w:t>
      </w:r>
      <w:r>
        <w:rPr>
          <w:rFonts w:ascii="Candara" w:hAnsi="Candara"/>
          <w:sz w:val="24"/>
          <w:szCs w:val="24"/>
        </w:rPr>
        <w:tab/>
      </w:r>
      <w:r>
        <w:rPr>
          <w:rFonts w:ascii="Candara" w:hAnsi="Candara"/>
          <w:sz w:val="24"/>
          <w:szCs w:val="24"/>
        </w:rPr>
        <w:tab/>
      </w:r>
      <w:proofErr w:type="spellStart"/>
      <w:r w:rsidRPr="0016235B">
        <w:rPr>
          <w:rFonts w:ascii="Candara" w:eastAsia="Times New Roman" w:hAnsi="Candara" w:cs="Times New Roman"/>
          <w:bCs/>
          <w:sz w:val="24"/>
          <w:szCs w:val="24"/>
          <w:lang w:eastAsia="en-GB"/>
        </w:rPr>
        <w:t>Sulfadoxine+Pyrimethamine</w:t>
      </w:r>
      <w:proofErr w:type="spellEnd"/>
    </w:p>
    <w:p w14:paraId="3B82CE3B" w14:textId="4891C46F" w:rsidR="00227641" w:rsidRDefault="00227641" w:rsidP="00227641">
      <w:pPr>
        <w:jc w:val="both"/>
        <w:rPr>
          <w:rFonts w:ascii="Candara" w:eastAsia="MS Mincho" w:hAnsi="Candara"/>
          <w:sz w:val="24"/>
          <w:szCs w:val="24"/>
        </w:rPr>
      </w:pPr>
      <w:r w:rsidRPr="0016235B">
        <w:rPr>
          <w:rFonts w:ascii="Candara" w:eastAsia="MS Mincho" w:hAnsi="Candara"/>
          <w:sz w:val="24"/>
          <w:szCs w:val="24"/>
        </w:rPr>
        <w:t xml:space="preserve">SPA </w:t>
      </w:r>
      <w:r w:rsidRPr="0016235B">
        <w:rPr>
          <w:rFonts w:ascii="Candara" w:eastAsia="MS Mincho" w:hAnsi="Candara"/>
          <w:sz w:val="24"/>
          <w:szCs w:val="24"/>
        </w:rPr>
        <w:tab/>
      </w:r>
      <w:r w:rsidRPr="0016235B">
        <w:rPr>
          <w:rFonts w:ascii="Candara" w:eastAsia="MS Mincho" w:hAnsi="Candara"/>
          <w:sz w:val="24"/>
          <w:szCs w:val="24"/>
        </w:rPr>
        <w:tab/>
        <w:t xml:space="preserve">Service Provision Assessment </w:t>
      </w:r>
    </w:p>
    <w:p w14:paraId="1B29AD78" w14:textId="6DD817C0" w:rsidR="00147129" w:rsidRPr="0016235B" w:rsidRDefault="00147129" w:rsidP="00227641">
      <w:pPr>
        <w:jc w:val="both"/>
        <w:rPr>
          <w:rFonts w:ascii="Candara" w:hAnsi="Candara"/>
          <w:sz w:val="24"/>
          <w:szCs w:val="24"/>
        </w:rPr>
      </w:pPr>
      <w:r>
        <w:rPr>
          <w:rFonts w:ascii="Candara" w:hAnsi="Candara"/>
          <w:sz w:val="24"/>
          <w:szCs w:val="24"/>
        </w:rPr>
        <w:t>TB</w:t>
      </w:r>
      <w:r>
        <w:rPr>
          <w:rFonts w:ascii="Candara" w:hAnsi="Candara"/>
          <w:sz w:val="24"/>
          <w:szCs w:val="24"/>
        </w:rPr>
        <w:tab/>
      </w:r>
      <w:r>
        <w:rPr>
          <w:rFonts w:ascii="Candara" w:hAnsi="Candara"/>
          <w:sz w:val="24"/>
          <w:szCs w:val="24"/>
        </w:rPr>
        <w:tab/>
        <w:t>Tuberculosis</w:t>
      </w:r>
    </w:p>
    <w:p w14:paraId="369854DC" w14:textId="2F8CDA70" w:rsidR="00227641" w:rsidRPr="0016235B" w:rsidRDefault="001553B8" w:rsidP="00227641">
      <w:pPr>
        <w:jc w:val="both"/>
        <w:rPr>
          <w:rFonts w:ascii="Candara" w:hAnsi="Candara"/>
          <w:sz w:val="24"/>
          <w:szCs w:val="24"/>
        </w:rPr>
      </w:pPr>
      <w:r w:rsidRPr="0016235B">
        <w:rPr>
          <w:rFonts w:ascii="Candara" w:hAnsi="Candara"/>
          <w:sz w:val="24"/>
          <w:szCs w:val="24"/>
        </w:rPr>
        <w:t>WHO</w:t>
      </w:r>
      <w:r w:rsidRPr="0016235B">
        <w:rPr>
          <w:rFonts w:ascii="Candara" w:hAnsi="Candara"/>
          <w:sz w:val="24"/>
          <w:szCs w:val="24"/>
        </w:rPr>
        <w:tab/>
      </w:r>
      <w:r w:rsidRPr="0016235B">
        <w:rPr>
          <w:rFonts w:ascii="Candara" w:hAnsi="Candara"/>
          <w:sz w:val="24"/>
          <w:szCs w:val="24"/>
        </w:rPr>
        <w:tab/>
        <w:t xml:space="preserve">World Health </w:t>
      </w:r>
      <w:r w:rsidR="00AA3F4C" w:rsidRPr="0016235B">
        <w:rPr>
          <w:rFonts w:ascii="Candara" w:hAnsi="Candara"/>
          <w:sz w:val="24"/>
          <w:szCs w:val="24"/>
        </w:rPr>
        <w:t>Organization</w:t>
      </w:r>
    </w:p>
    <w:p w14:paraId="251111EB" w14:textId="5DFCDBFD" w:rsidR="00AA3F4C" w:rsidRDefault="00AA3F4C" w:rsidP="00AA3F4C">
      <w:pPr>
        <w:tabs>
          <w:tab w:val="center" w:pos="4513"/>
        </w:tabs>
        <w:jc w:val="center"/>
        <w:rPr>
          <w:rFonts w:ascii="Candara" w:hAnsi="Candara"/>
          <w:sz w:val="24"/>
          <w:szCs w:val="24"/>
        </w:rPr>
      </w:pPr>
    </w:p>
    <w:p w14:paraId="489052AD" w14:textId="77777777" w:rsidR="00803EE2" w:rsidRPr="0016235B" w:rsidRDefault="00803EE2" w:rsidP="00AA3F4C">
      <w:pPr>
        <w:tabs>
          <w:tab w:val="center" w:pos="4513"/>
        </w:tabs>
        <w:jc w:val="both"/>
        <w:rPr>
          <w:rFonts w:ascii="Candara" w:hAnsi="Candara"/>
          <w:sz w:val="24"/>
          <w:szCs w:val="24"/>
        </w:rPr>
      </w:pPr>
      <w:r w:rsidRPr="00AA3F4C">
        <w:rPr>
          <w:rFonts w:ascii="Candara" w:hAnsi="Candara"/>
          <w:sz w:val="24"/>
          <w:szCs w:val="24"/>
        </w:rPr>
        <w:br w:type="page"/>
      </w:r>
      <w:r w:rsidR="00AA3F4C">
        <w:rPr>
          <w:rFonts w:ascii="Candara" w:hAnsi="Candara"/>
          <w:sz w:val="24"/>
          <w:szCs w:val="24"/>
        </w:rPr>
        <w:lastRenderedPageBreak/>
        <w:tab/>
      </w:r>
    </w:p>
    <w:p w14:paraId="64A31360" w14:textId="77777777" w:rsidR="00803EE2" w:rsidRPr="0016235B" w:rsidRDefault="00803EE2" w:rsidP="00B15C32">
      <w:pPr>
        <w:pStyle w:val="Heading1"/>
        <w:rPr>
          <w:rFonts w:ascii="Candara" w:hAnsi="Candara"/>
          <w:b/>
          <w:sz w:val="28"/>
          <w:szCs w:val="28"/>
        </w:rPr>
      </w:pPr>
      <w:bookmarkStart w:id="5" w:name="_Toc11494018"/>
      <w:r w:rsidRPr="0016235B">
        <w:rPr>
          <w:rFonts w:ascii="Candara" w:hAnsi="Candara"/>
          <w:b/>
          <w:sz w:val="28"/>
          <w:szCs w:val="28"/>
        </w:rPr>
        <w:t>List of Tables and Figures</w:t>
      </w:r>
      <w:bookmarkEnd w:id="5"/>
    </w:p>
    <w:p w14:paraId="16508648" w14:textId="77777777" w:rsidR="00803EE2" w:rsidRPr="0016235B" w:rsidRDefault="00803EE2">
      <w:pPr>
        <w:rPr>
          <w:rFonts w:ascii="Candara" w:hAnsi="Candara"/>
          <w:b/>
          <w:sz w:val="28"/>
          <w:szCs w:val="28"/>
        </w:rPr>
      </w:pPr>
      <w:r w:rsidRPr="0016235B">
        <w:rPr>
          <w:rFonts w:ascii="Candara" w:hAnsi="Candara"/>
          <w:b/>
          <w:sz w:val="28"/>
          <w:szCs w:val="28"/>
        </w:rPr>
        <w:br w:type="page"/>
      </w:r>
    </w:p>
    <w:p w14:paraId="4DFF0DD1" w14:textId="77777777" w:rsidR="003551C6" w:rsidRPr="0016235B" w:rsidRDefault="00803EE2" w:rsidP="00B15C32">
      <w:pPr>
        <w:pStyle w:val="Heading1"/>
        <w:rPr>
          <w:rFonts w:ascii="Candara" w:hAnsi="Candara"/>
          <w:b/>
          <w:sz w:val="28"/>
          <w:szCs w:val="28"/>
        </w:rPr>
      </w:pPr>
      <w:bookmarkStart w:id="6" w:name="_Toc11494019"/>
      <w:r w:rsidRPr="0016235B">
        <w:rPr>
          <w:rFonts w:ascii="Candara" w:hAnsi="Candara"/>
          <w:b/>
          <w:sz w:val="28"/>
          <w:szCs w:val="28"/>
        </w:rPr>
        <w:lastRenderedPageBreak/>
        <w:t>Executive Summary</w:t>
      </w:r>
      <w:bookmarkEnd w:id="6"/>
    </w:p>
    <w:p w14:paraId="49C3005E" w14:textId="77777777" w:rsidR="006024AF" w:rsidRPr="0016235B" w:rsidRDefault="006024AF" w:rsidP="00B15C32">
      <w:pPr>
        <w:pStyle w:val="Heading1"/>
        <w:rPr>
          <w:rFonts w:ascii="Candara" w:hAnsi="Candara"/>
          <w:b/>
          <w:sz w:val="28"/>
          <w:szCs w:val="28"/>
        </w:rPr>
      </w:pPr>
    </w:p>
    <w:p w14:paraId="5EFB63A3" w14:textId="51504306" w:rsidR="00E162CA" w:rsidRPr="0016235B" w:rsidRDefault="0087475C" w:rsidP="00EF37B7">
      <w:pPr>
        <w:spacing w:after="0"/>
        <w:jc w:val="both"/>
        <w:rPr>
          <w:rFonts w:ascii="Candara" w:eastAsia="MS Mincho" w:hAnsi="Candara"/>
          <w:b/>
          <w:sz w:val="24"/>
          <w:szCs w:val="24"/>
        </w:rPr>
      </w:pPr>
      <w:r w:rsidRPr="0016235B">
        <w:rPr>
          <w:rFonts w:ascii="Candara" w:eastAsia="MS Mincho" w:hAnsi="Candara"/>
          <w:b/>
          <w:sz w:val="24"/>
          <w:szCs w:val="24"/>
        </w:rPr>
        <w:t>Background</w:t>
      </w:r>
    </w:p>
    <w:p w14:paraId="483A7F5F" w14:textId="7CAC8E45" w:rsidR="00AA665C" w:rsidRPr="0016235B" w:rsidRDefault="00AA665C" w:rsidP="00AA665C">
      <w:pPr>
        <w:jc w:val="both"/>
        <w:rPr>
          <w:rFonts w:ascii="Candara" w:eastAsia="MS Mincho" w:hAnsi="Candara"/>
          <w:sz w:val="24"/>
          <w:szCs w:val="24"/>
        </w:rPr>
      </w:pPr>
      <w:r w:rsidRPr="0016235B">
        <w:rPr>
          <w:rFonts w:ascii="Candara" w:eastAsia="MS Mincho" w:hAnsi="Candara"/>
          <w:sz w:val="24"/>
          <w:szCs w:val="24"/>
        </w:rPr>
        <w:t>The assessment of service availability and readiness (SARA) reflects the ability of health care facilities to provide general and specific services at minimum standards. The concept of SARA was developed by the World Health Organization and collaborating partners to assess whether a health facility meets the required conditions to support the provision of basic or specific services</w:t>
      </w:r>
      <w:r w:rsidRPr="0016235B">
        <w:rPr>
          <w:rFonts w:ascii="Candara" w:eastAsia="MS Mincho" w:hAnsi="Candara"/>
          <w:sz w:val="24"/>
          <w:szCs w:val="24"/>
          <w:vertAlign w:val="superscript"/>
        </w:rPr>
        <w:footnoteReference w:id="1"/>
      </w:r>
      <w:r w:rsidRPr="0016235B">
        <w:rPr>
          <w:rFonts w:ascii="Candara" w:eastAsia="MS Mincho" w:hAnsi="Candara"/>
          <w:sz w:val="24"/>
          <w:szCs w:val="24"/>
        </w:rPr>
        <w:t xml:space="preserve">. Service availability refers to the physical presence of delivery of services. Service readiness meanwhile refers to the ability of health facilities to offer a specific service, and the capacity to offer that service – measured through the availability of items such as trained staff, guidelines, equipment, laboratory services, and medicines. </w:t>
      </w:r>
      <w:r w:rsidRPr="0016235B">
        <w:rPr>
          <w:rFonts w:ascii="Candara" w:eastAsia="MS Mincho" w:hAnsi="Candara"/>
          <w:sz w:val="24"/>
          <w:szCs w:val="24"/>
          <w:lang w:val="en-GB"/>
        </w:rPr>
        <w:t xml:space="preserve">The World Health Organizations recommends that </w:t>
      </w:r>
      <w:r w:rsidRPr="0016235B">
        <w:rPr>
          <w:rFonts w:ascii="Candara" w:eastAsia="MS Mincho" w:hAnsi="Candara"/>
          <w:sz w:val="24"/>
          <w:szCs w:val="24"/>
        </w:rPr>
        <w:t>countries should conduct SARA surveys every two years and the timing should correspond with and findings should feed into health sector performance reviews such as the mid-term</w:t>
      </w:r>
      <w:r w:rsidR="00AF223B" w:rsidRPr="0016235B">
        <w:rPr>
          <w:rFonts w:ascii="Candara" w:eastAsia="MS Mincho" w:hAnsi="Candara"/>
          <w:sz w:val="24"/>
          <w:szCs w:val="24"/>
        </w:rPr>
        <w:t xml:space="preserve"> reviews and end-term evaluations</w:t>
      </w:r>
      <w:r w:rsidRPr="0016235B">
        <w:rPr>
          <w:rFonts w:ascii="Candara" w:eastAsia="MS Mincho" w:hAnsi="Candara"/>
          <w:sz w:val="24"/>
          <w:szCs w:val="24"/>
        </w:rPr>
        <w:t>.</w:t>
      </w:r>
    </w:p>
    <w:p w14:paraId="10192BB7" w14:textId="43EE0722" w:rsidR="0087475C" w:rsidRPr="0016235B" w:rsidRDefault="0087475C" w:rsidP="00AA665C">
      <w:pPr>
        <w:jc w:val="both"/>
        <w:rPr>
          <w:rFonts w:ascii="Candara" w:eastAsia="MS Mincho" w:hAnsi="Candara"/>
          <w:sz w:val="24"/>
          <w:szCs w:val="24"/>
        </w:rPr>
      </w:pPr>
    </w:p>
    <w:p w14:paraId="0D6C5672" w14:textId="77777777" w:rsidR="0087475C" w:rsidRPr="0016235B" w:rsidRDefault="0087475C" w:rsidP="001C6B81">
      <w:pPr>
        <w:spacing w:after="0"/>
        <w:jc w:val="both"/>
        <w:rPr>
          <w:rFonts w:ascii="Candara" w:eastAsia="MS Mincho" w:hAnsi="Candara"/>
          <w:b/>
          <w:sz w:val="24"/>
          <w:szCs w:val="24"/>
        </w:rPr>
      </w:pPr>
      <w:r w:rsidRPr="0016235B">
        <w:rPr>
          <w:rFonts w:ascii="Candara" w:eastAsia="MS Mincho" w:hAnsi="Candara"/>
          <w:b/>
          <w:sz w:val="24"/>
          <w:szCs w:val="24"/>
        </w:rPr>
        <w:t>Methods</w:t>
      </w:r>
    </w:p>
    <w:p w14:paraId="36F81328" w14:textId="3F30B921" w:rsidR="00406F92" w:rsidRPr="0016235B" w:rsidRDefault="00AA665C" w:rsidP="00AA665C">
      <w:pPr>
        <w:jc w:val="both"/>
        <w:rPr>
          <w:rFonts w:ascii="Candara" w:eastAsia="MS Mincho" w:hAnsi="Candara"/>
          <w:sz w:val="24"/>
          <w:szCs w:val="24"/>
          <w:lang w:val="en-GB"/>
        </w:rPr>
      </w:pPr>
      <w:r w:rsidRPr="0016235B">
        <w:rPr>
          <w:rFonts w:ascii="Candara" w:eastAsia="MS Mincho" w:hAnsi="Candara"/>
          <w:sz w:val="24"/>
          <w:szCs w:val="24"/>
          <w:lang w:val="en-GB"/>
        </w:rPr>
        <w:t xml:space="preserve">The SARA survey in Uganda was conducted in January 2018. The survey was done in facilities across Uganda. The facilities were sampled </w:t>
      </w:r>
      <w:r w:rsidRPr="0016235B">
        <w:rPr>
          <w:rFonts w:ascii="Candara" w:eastAsia="MS Mincho" w:hAnsi="Candara"/>
          <w:sz w:val="24"/>
          <w:szCs w:val="24"/>
        </w:rPr>
        <w:t xml:space="preserve">through a </w:t>
      </w:r>
      <w:r w:rsidR="00406F92" w:rsidRPr="0016235B">
        <w:rPr>
          <w:rFonts w:ascii="Candara" w:eastAsia="MS Mincho" w:hAnsi="Candara"/>
          <w:sz w:val="24"/>
          <w:szCs w:val="24"/>
        </w:rPr>
        <w:t>multi</w:t>
      </w:r>
      <w:r w:rsidRPr="0016235B">
        <w:rPr>
          <w:rFonts w:ascii="Candara" w:eastAsia="MS Mincho" w:hAnsi="Candara"/>
          <w:sz w:val="24"/>
          <w:szCs w:val="24"/>
        </w:rPr>
        <w:t xml:space="preserve">-stage stratified random sampling method designed to give a representative national sample. The data were collected through structured key-informant interviews using the World Health Organization’s standard SARA core questionnaire that was typically adopted although with some adaptations to Uganda’s context. </w:t>
      </w:r>
      <w:r w:rsidRPr="0016235B">
        <w:rPr>
          <w:rFonts w:ascii="Candara" w:eastAsia="MS Mincho" w:hAnsi="Candara"/>
          <w:sz w:val="24"/>
          <w:szCs w:val="24"/>
          <w:lang w:val="en-GB"/>
        </w:rPr>
        <w:t xml:space="preserve"> The data were collected by trained data collectors using both paper questionnaire and mobile electronic devices that had </w:t>
      </w:r>
      <w:proofErr w:type="spellStart"/>
      <w:r w:rsidRPr="0016235B">
        <w:rPr>
          <w:rFonts w:ascii="Candara" w:eastAsia="MS Mincho" w:hAnsi="Candara"/>
          <w:sz w:val="24"/>
          <w:szCs w:val="24"/>
          <w:lang w:val="en-GB"/>
        </w:rPr>
        <w:t>CSPro</w:t>
      </w:r>
      <w:proofErr w:type="spellEnd"/>
      <w:r w:rsidR="00406F92" w:rsidRPr="0016235B">
        <w:rPr>
          <w:rFonts w:ascii="Candara" w:eastAsia="MS Mincho" w:hAnsi="Candara"/>
          <w:sz w:val="24"/>
          <w:szCs w:val="24"/>
          <w:lang w:val="en-GB"/>
        </w:rPr>
        <w:t xml:space="preserve"> application</w:t>
      </w:r>
      <w:r w:rsidRPr="0016235B">
        <w:rPr>
          <w:rFonts w:ascii="Candara" w:eastAsia="MS Mincho" w:hAnsi="Candara"/>
          <w:sz w:val="24"/>
          <w:szCs w:val="24"/>
          <w:lang w:val="en-GB"/>
        </w:rPr>
        <w:t xml:space="preserve"> software. </w:t>
      </w:r>
      <w:r w:rsidR="0012290E" w:rsidRPr="0016235B">
        <w:rPr>
          <w:rFonts w:ascii="Candara" w:eastAsia="MS Mincho" w:hAnsi="Candara"/>
          <w:sz w:val="24"/>
          <w:szCs w:val="24"/>
          <w:lang w:val="en-GB"/>
        </w:rPr>
        <w:t xml:space="preserve"> </w:t>
      </w:r>
    </w:p>
    <w:p w14:paraId="20561E53" w14:textId="18F1292C" w:rsidR="00AA665C" w:rsidRPr="0016235B" w:rsidRDefault="00AA665C" w:rsidP="00AA665C">
      <w:pPr>
        <w:jc w:val="both"/>
        <w:rPr>
          <w:rFonts w:ascii="Candara" w:eastAsia="MS Mincho" w:hAnsi="Candara"/>
          <w:sz w:val="24"/>
          <w:szCs w:val="24"/>
        </w:rPr>
      </w:pPr>
      <w:r w:rsidRPr="0016235B">
        <w:rPr>
          <w:rFonts w:ascii="Candara" w:eastAsia="MS Mincho" w:hAnsi="Candara"/>
          <w:sz w:val="24"/>
          <w:szCs w:val="24"/>
          <w:lang w:val="en-GB"/>
        </w:rPr>
        <w:t xml:space="preserve">Data were collected to assess the </w:t>
      </w:r>
      <w:r w:rsidR="005133E8" w:rsidRPr="0016235B">
        <w:rPr>
          <w:rFonts w:ascii="Candara" w:eastAsia="MS Mincho" w:hAnsi="Candara"/>
          <w:sz w:val="24"/>
          <w:szCs w:val="24"/>
          <w:lang w:val="en-GB"/>
        </w:rPr>
        <w:t xml:space="preserve">general service-readiness, </w:t>
      </w:r>
      <w:r w:rsidR="0012290E" w:rsidRPr="0016235B">
        <w:rPr>
          <w:rFonts w:ascii="Candara" w:eastAsia="MS Mincho" w:hAnsi="Candara"/>
          <w:sz w:val="24"/>
          <w:szCs w:val="24"/>
          <w:lang w:val="en-GB"/>
        </w:rPr>
        <w:t>and specific service availability and readiness</w:t>
      </w:r>
      <w:r w:rsidRPr="0016235B">
        <w:rPr>
          <w:rFonts w:ascii="Candara" w:eastAsia="MS Mincho" w:hAnsi="Candara"/>
          <w:sz w:val="24"/>
          <w:szCs w:val="24"/>
          <w:lang w:val="en-GB"/>
        </w:rPr>
        <w:t xml:space="preserve">. General-service readiness refers to the overall capacity of health facilities to provide general health services – as measured by the availability of components such as basic </w:t>
      </w:r>
      <w:r w:rsidRPr="0016235B">
        <w:rPr>
          <w:rFonts w:ascii="Candara" w:eastAsia="MS Mincho" w:hAnsi="Candara"/>
          <w:sz w:val="24"/>
          <w:szCs w:val="24"/>
        </w:rPr>
        <w:t xml:space="preserve">amenities, basic equipment, standard precautions for infection prevention, diagnostic capacity and essential medicines. Service-specific readiness meanwhile refers to the presence of items that are particularly important for offering a specific service. Because the assessment focusses on just a selection of all items that can potentially be used to offer a service, such items </w:t>
      </w:r>
      <w:r w:rsidR="00AF2EAD" w:rsidRPr="0016235B">
        <w:rPr>
          <w:rFonts w:ascii="Candara" w:eastAsia="MS Mincho" w:hAnsi="Candara"/>
          <w:sz w:val="24"/>
          <w:szCs w:val="24"/>
        </w:rPr>
        <w:t xml:space="preserve">in SARA surveys </w:t>
      </w:r>
      <w:r w:rsidRPr="0016235B">
        <w:rPr>
          <w:rFonts w:ascii="Candara" w:eastAsia="MS Mincho" w:hAnsi="Candara"/>
          <w:sz w:val="24"/>
          <w:szCs w:val="24"/>
        </w:rPr>
        <w:t xml:space="preserve">are referred to as “tracer items” i.e. a limited number of items used to give a general indication of reality. For all the </w:t>
      </w:r>
      <w:r w:rsidR="001C2EAC" w:rsidRPr="0016235B">
        <w:rPr>
          <w:rFonts w:ascii="Candara" w:eastAsia="MS Mincho" w:hAnsi="Candara"/>
          <w:sz w:val="24"/>
          <w:szCs w:val="24"/>
        </w:rPr>
        <w:t xml:space="preserve">tracer </w:t>
      </w:r>
      <w:r w:rsidRPr="0016235B">
        <w:rPr>
          <w:rFonts w:ascii="Candara" w:eastAsia="MS Mincho" w:hAnsi="Candara"/>
          <w:sz w:val="24"/>
          <w:szCs w:val="24"/>
        </w:rPr>
        <w:t xml:space="preserve">items that were enquired about, the interview responses were confirmed by direct observation. In addition, an item had to be in a working condition to be considered available. </w:t>
      </w:r>
    </w:p>
    <w:p w14:paraId="7FF329E3" w14:textId="1DF30C18" w:rsidR="00A35540" w:rsidRPr="0016235B" w:rsidRDefault="00A35540" w:rsidP="00A35540">
      <w:pPr>
        <w:jc w:val="both"/>
        <w:rPr>
          <w:rFonts w:ascii="Candara" w:eastAsia="MS Mincho" w:hAnsi="Candara"/>
          <w:sz w:val="24"/>
          <w:szCs w:val="24"/>
        </w:rPr>
      </w:pPr>
      <w:r w:rsidRPr="0016235B">
        <w:rPr>
          <w:rFonts w:ascii="Candara" w:eastAsia="MS Mincho" w:hAnsi="Candara"/>
          <w:sz w:val="24"/>
          <w:szCs w:val="24"/>
          <w:lang w:val="en-GB"/>
        </w:rPr>
        <w:t xml:space="preserve">Analysis of data was carried out in STATA using </w:t>
      </w:r>
      <w:r w:rsidRPr="0016235B">
        <w:rPr>
          <w:rFonts w:ascii="Candara" w:eastAsia="MS Mincho" w:hAnsi="Candara"/>
          <w:sz w:val="24"/>
          <w:szCs w:val="24"/>
        </w:rPr>
        <w:t>methods that are appropriate for the survey design.</w:t>
      </w:r>
      <w:r w:rsidRPr="0016235B">
        <w:rPr>
          <w:rFonts w:ascii="Candara" w:eastAsia="MS Mincho" w:hAnsi="Candara"/>
          <w:sz w:val="24"/>
          <w:szCs w:val="24"/>
          <w:lang w:val="en-GB"/>
        </w:rPr>
        <w:t xml:space="preserve"> </w:t>
      </w:r>
      <w:r w:rsidRPr="0016235B">
        <w:rPr>
          <w:rFonts w:ascii="Candara" w:eastAsia="MS Mincho" w:hAnsi="Candara"/>
          <w:sz w:val="24"/>
          <w:szCs w:val="24"/>
        </w:rPr>
        <w:t xml:space="preserve">This involved application of sampling weights to reflect the probability of </w:t>
      </w:r>
      <w:r w:rsidRPr="0016235B">
        <w:rPr>
          <w:rFonts w:ascii="Candara" w:eastAsia="MS Mincho" w:hAnsi="Candara"/>
          <w:sz w:val="24"/>
          <w:szCs w:val="24"/>
        </w:rPr>
        <w:lastRenderedPageBreak/>
        <w:t xml:space="preserve">selection of facilities at each stage of the sampling </w:t>
      </w:r>
      <w:r w:rsidR="00962D42" w:rsidRPr="0016235B">
        <w:rPr>
          <w:rFonts w:ascii="Candara" w:eastAsia="MS Mincho" w:hAnsi="Candara"/>
          <w:sz w:val="24"/>
          <w:szCs w:val="24"/>
        </w:rPr>
        <w:t>design and</w:t>
      </w:r>
      <w:r w:rsidRPr="0016235B">
        <w:rPr>
          <w:rFonts w:ascii="Candara" w:eastAsia="MS Mincho" w:hAnsi="Candara"/>
          <w:sz w:val="24"/>
          <w:szCs w:val="24"/>
        </w:rPr>
        <w:t xml:space="preserve"> using the STATA commands for survey data for all analyses. Categorical variables were </w:t>
      </w:r>
      <w:proofErr w:type="spellStart"/>
      <w:r w:rsidRPr="0016235B">
        <w:rPr>
          <w:rFonts w:ascii="Candara" w:eastAsia="MS Mincho" w:hAnsi="Candara"/>
          <w:sz w:val="24"/>
          <w:szCs w:val="24"/>
        </w:rPr>
        <w:t>summarised</w:t>
      </w:r>
      <w:proofErr w:type="spellEnd"/>
      <w:r w:rsidRPr="0016235B">
        <w:rPr>
          <w:rFonts w:ascii="Candara" w:eastAsia="MS Mincho" w:hAnsi="Candara"/>
          <w:sz w:val="24"/>
          <w:szCs w:val="24"/>
        </w:rPr>
        <w:t xml:space="preserve"> as frequencies and proportions and continuous variables were </w:t>
      </w:r>
      <w:r w:rsidR="006C1742" w:rsidRPr="0016235B">
        <w:rPr>
          <w:rFonts w:ascii="Candara" w:eastAsia="MS Mincho" w:hAnsi="Candara"/>
          <w:sz w:val="24"/>
          <w:szCs w:val="24"/>
        </w:rPr>
        <w:t>summarized</w:t>
      </w:r>
      <w:r w:rsidRPr="0016235B">
        <w:rPr>
          <w:rFonts w:ascii="Candara" w:eastAsia="MS Mincho" w:hAnsi="Candara"/>
          <w:sz w:val="24"/>
          <w:szCs w:val="24"/>
        </w:rPr>
        <w:t xml:space="preserve"> by the mean. Where categorical variables had some categories with low frequency, categories were combined for analysis where appropriate. Details of the analysis are as follows:</w:t>
      </w:r>
    </w:p>
    <w:p w14:paraId="07A43B37" w14:textId="5041A196" w:rsidR="00A35540" w:rsidRPr="0016235B" w:rsidRDefault="00A35540" w:rsidP="00A35540">
      <w:pPr>
        <w:jc w:val="both"/>
        <w:rPr>
          <w:rFonts w:ascii="Candara" w:eastAsia="MS Mincho" w:hAnsi="Candara"/>
          <w:sz w:val="24"/>
          <w:szCs w:val="24"/>
        </w:rPr>
      </w:pPr>
      <w:r w:rsidRPr="0016235B">
        <w:rPr>
          <w:rFonts w:ascii="Candara" w:eastAsia="MS Mincho" w:hAnsi="Candara"/>
          <w:sz w:val="24"/>
          <w:szCs w:val="24"/>
        </w:rPr>
        <w:t xml:space="preserve">Each variable was assigned value </w:t>
      </w:r>
      <w:r w:rsidRPr="0016235B">
        <w:rPr>
          <w:rFonts w:ascii="Candara" w:eastAsia="MS Mincho" w:hAnsi="Candara"/>
          <w:b/>
          <w:bCs/>
          <w:sz w:val="24"/>
          <w:szCs w:val="24"/>
        </w:rPr>
        <w:t xml:space="preserve">1 </w:t>
      </w:r>
      <w:r w:rsidRPr="0016235B">
        <w:rPr>
          <w:rFonts w:ascii="Candara" w:eastAsia="MS Mincho" w:hAnsi="Candara"/>
          <w:sz w:val="24"/>
          <w:szCs w:val="24"/>
        </w:rPr>
        <w:t xml:space="preserve">if the service or item for offering the service was available and </w:t>
      </w:r>
      <w:r w:rsidRPr="0016235B">
        <w:rPr>
          <w:rFonts w:ascii="Candara" w:eastAsia="MS Mincho" w:hAnsi="Candara"/>
          <w:b/>
          <w:bCs/>
          <w:sz w:val="24"/>
          <w:szCs w:val="24"/>
        </w:rPr>
        <w:t xml:space="preserve">0 </w:t>
      </w:r>
      <w:r w:rsidRPr="0016235B">
        <w:rPr>
          <w:rFonts w:ascii="Candara" w:eastAsia="MS Mincho" w:hAnsi="Candara"/>
          <w:sz w:val="24"/>
          <w:szCs w:val="24"/>
        </w:rPr>
        <w:t>if they were unavailable. Sam</w:t>
      </w:r>
      <w:r w:rsidR="00F632A8" w:rsidRPr="0016235B">
        <w:rPr>
          <w:rFonts w:ascii="Candara" w:eastAsia="MS Mincho" w:hAnsi="Candara"/>
          <w:sz w:val="24"/>
          <w:szCs w:val="24"/>
        </w:rPr>
        <w:t>pling weights were then applied</w:t>
      </w:r>
      <w:r w:rsidRPr="0016235B">
        <w:rPr>
          <w:rFonts w:ascii="Candara" w:eastAsia="MS Mincho" w:hAnsi="Candara"/>
          <w:sz w:val="24"/>
          <w:szCs w:val="24"/>
        </w:rPr>
        <w:t xml:space="preserve">. For assessment of general service readiness and availability of specific services, the percentage of facilities that had or reported the availability of the items was calculated overall and then by </w:t>
      </w:r>
      <w:r w:rsidR="001E33BB" w:rsidRPr="0016235B">
        <w:rPr>
          <w:rFonts w:ascii="Candara" w:eastAsia="MS Mincho" w:hAnsi="Candara"/>
          <w:sz w:val="24"/>
          <w:szCs w:val="24"/>
        </w:rPr>
        <w:t>health region</w:t>
      </w:r>
      <w:r w:rsidRPr="0016235B">
        <w:rPr>
          <w:rFonts w:ascii="Candara" w:eastAsia="MS Mincho" w:hAnsi="Candara"/>
          <w:sz w:val="24"/>
          <w:szCs w:val="24"/>
        </w:rPr>
        <w:t xml:space="preserve">, </w:t>
      </w:r>
      <w:r w:rsidR="001E33BB" w:rsidRPr="0016235B">
        <w:rPr>
          <w:rFonts w:ascii="Candara" w:eastAsia="MS Mincho" w:hAnsi="Candara"/>
          <w:sz w:val="24"/>
          <w:szCs w:val="24"/>
        </w:rPr>
        <w:t>facility level</w:t>
      </w:r>
      <w:r w:rsidRPr="0016235B">
        <w:rPr>
          <w:rFonts w:ascii="Candara" w:eastAsia="MS Mincho" w:hAnsi="Candara"/>
          <w:sz w:val="24"/>
          <w:szCs w:val="24"/>
        </w:rPr>
        <w:t xml:space="preserve">, public-private ownership, and </w:t>
      </w:r>
      <w:r w:rsidR="001E33BB" w:rsidRPr="0016235B">
        <w:rPr>
          <w:rFonts w:ascii="Candara" w:eastAsia="MS Mincho" w:hAnsi="Candara"/>
          <w:sz w:val="24"/>
          <w:szCs w:val="24"/>
        </w:rPr>
        <w:t xml:space="preserve">urban-rural </w:t>
      </w:r>
      <w:r w:rsidRPr="0016235B">
        <w:rPr>
          <w:rFonts w:ascii="Candara" w:eastAsia="MS Mincho" w:hAnsi="Candara"/>
          <w:sz w:val="24"/>
          <w:szCs w:val="24"/>
        </w:rPr>
        <w:t xml:space="preserve">location. </w:t>
      </w:r>
    </w:p>
    <w:p w14:paraId="5168E107" w14:textId="4B8BC72C" w:rsidR="00A35540" w:rsidRPr="0016235B" w:rsidRDefault="00A35540" w:rsidP="00A35540">
      <w:pPr>
        <w:jc w:val="both"/>
        <w:rPr>
          <w:rFonts w:ascii="Candara" w:eastAsia="MS Mincho" w:hAnsi="Candara"/>
          <w:sz w:val="24"/>
          <w:szCs w:val="24"/>
        </w:rPr>
      </w:pPr>
      <w:r w:rsidRPr="0016235B">
        <w:rPr>
          <w:rFonts w:ascii="Candara" w:eastAsia="MS Mincho" w:hAnsi="Candara"/>
          <w:sz w:val="24"/>
          <w:szCs w:val="24"/>
        </w:rPr>
        <w:t xml:space="preserve">Service-specific readiness was calculated among facilities that reported that they offered the service. First the availability of each item was assessed. This involved calculating the percentage of facilities that reported offering a service and had the item. The percentage of facilities that had all the items was then calculated. Lastly, the mean availability of the items was calculated to give the readiness score. </w:t>
      </w:r>
    </w:p>
    <w:p w14:paraId="22C8B1F3" w14:textId="58557357" w:rsidR="00DB7151" w:rsidRPr="0016235B" w:rsidRDefault="00DB7151" w:rsidP="00DB7151">
      <w:pPr>
        <w:jc w:val="both"/>
        <w:rPr>
          <w:rFonts w:ascii="Candara" w:eastAsia="MS Mincho" w:hAnsi="Candara"/>
          <w:sz w:val="24"/>
          <w:szCs w:val="24"/>
          <w:lang w:val="en-GB"/>
        </w:rPr>
      </w:pPr>
      <w:r w:rsidRPr="0016235B">
        <w:rPr>
          <w:rFonts w:ascii="Candara" w:eastAsia="MS Mincho" w:hAnsi="Candara"/>
          <w:sz w:val="24"/>
          <w:szCs w:val="24"/>
        </w:rPr>
        <w:t xml:space="preserve">The SARA questionnaire was administered together with a data verification tool. </w:t>
      </w:r>
      <w:r w:rsidRPr="0016235B">
        <w:rPr>
          <w:rFonts w:ascii="Candara" w:eastAsia="MS Mincho" w:hAnsi="Candara"/>
          <w:sz w:val="24"/>
          <w:szCs w:val="24"/>
          <w:lang w:val="en-GB"/>
        </w:rPr>
        <w:t>Data verification is a measure of internal consistency of data. It is one of the methods recommended by the World Health Organization for assessing quality of routine health facility data</w:t>
      </w:r>
      <w:r w:rsidRPr="0016235B">
        <w:rPr>
          <w:rFonts w:ascii="Candara" w:eastAsia="MS Mincho" w:hAnsi="Candara"/>
          <w:sz w:val="24"/>
          <w:szCs w:val="24"/>
          <w:vertAlign w:val="superscript"/>
          <w:lang w:val="en-GB"/>
        </w:rPr>
        <w:footnoteReference w:id="2"/>
      </w:r>
      <w:r w:rsidRPr="0016235B">
        <w:rPr>
          <w:rFonts w:ascii="Candara" w:eastAsia="MS Mincho" w:hAnsi="Candara"/>
          <w:sz w:val="24"/>
          <w:szCs w:val="24"/>
          <w:lang w:val="en-GB"/>
        </w:rPr>
        <w:t>. It verifies whether information contained in the source documents has been transmitted correctly to the next level of reporting. Data verification allows for the identification of systemic errors in reporting data as well as the extent or degree of the errors. Data verification can be done for any indicator and for any reporting level of interest. The process involves a physical count of values for an indicator in the source document for a specified reporting period and then comparing it to the value for the same indicator that has been reported to the next reporting level for the same period. Reasons for any discrepancy between the values in the sourc</w:t>
      </w:r>
      <w:r w:rsidR="00F63DC4" w:rsidRPr="0016235B">
        <w:rPr>
          <w:rFonts w:ascii="Candara" w:eastAsia="MS Mincho" w:hAnsi="Candara"/>
          <w:sz w:val="24"/>
          <w:szCs w:val="24"/>
          <w:lang w:val="en-GB"/>
        </w:rPr>
        <w:t>e document and reported values we</w:t>
      </w:r>
      <w:r w:rsidRPr="0016235B">
        <w:rPr>
          <w:rFonts w:ascii="Candara" w:eastAsia="MS Mincho" w:hAnsi="Candara"/>
          <w:sz w:val="24"/>
          <w:szCs w:val="24"/>
          <w:lang w:val="en-GB"/>
        </w:rPr>
        <w:t xml:space="preserve">re then explored to facilitate efforts to improve accuracy of reporting. </w:t>
      </w:r>
    </w:p>
    <w:p w14:paraId="18B7C1B6" w14:textId="77777777" w:rsidR="00DB7151" w:rsidRPr="0016235B" w:rsidRDefault="00DB7151" w:rsidP="00A35540">
      <w:pPr>
        <w:jc w:val="both"/>
        <w:rPr>
          <w:rFonts w:ascii="Candara" w:eastAsia="MS Mincho" w:hAnsi="Candara"/>
          <w:sz w:val="24"/>
          <w:szCs w:val="24"/>
        </w:rPr>
      </w:pPr>
    </w:p>
    <w:p w14:paraId="03ECC549" w14:textId="190B1410" w:rsidR="00E162CA" w:rsidRPr="0016235B" w:rsidRDefault="00AB0AE6" w:rsidP="001C6B81">
      <w:pPr>
        <w:spacing w:after="0"/>
        <w:jc w:val="both"/>
        <w:rPr>
          <w:rFonts w:ascii="Candara" w:eastAsia="MS Mincho" w:hAnsi="Candara"/>
          <w:b/>
          <w:sz w:val="24"/>
          <w:szCs w:val="24"/>
          <w:lang w:val="en-GB"/>
        </w:rPr>
      </w:pPr>
      <w:r w:rsidRPr="0016235B">
        <w:rPr>
          <w:rFonts w:ascii="Candara" w:eastAsia="MS Mincho" w:hAnsi="Candara"/>
          <w:b/>
          <w:sz w:val="24"/>
          <w:szCs w:val="24"/>
        </w:rPr>
        <w:t>Key results</w:t>
      </w:r>
    </w:p>
    <w:p w14:paraId="13035C97" w14:textId="77777777" w:rsidR="00421D06" w:rsidRPr="0016235B" w:rsidRDefault="00394CF4" w:rsidP="00AA665C">
      <w:pPr>
        <w:jc w:val="both"/>
        <w:rPr>
          <w:rFonts w:ascii="Candara" w:eastAsia="MS Mincho" w:hAnsi="Candara"/>
          <w:sz w:val="24"/>
          <w:szCs w:val="24"/>
        </w:rPr>
      </w:pPr>
      <w:r w:rsidRPr="0016235B">
        <w:rPr>
          <w:rFonts w:ascii="Candara" w:eastAsia="MS Mincho" w:hAnsi="Candara"/>
          <w:sz w:val="24"/>
          <w:szCs w:val="24"/>
        </w:rPr>
        <w:t>In total, 215 facilities were surveyed but data were available for 166 facilities</w:t>
      </w:r>
      <w:r w:rsidR="00DE50FB" w:rsidRPr="0016235B">
        <w:rPr>
          <w:rFonts w:ascii="Candara" w:eastAsia="MS Mincho" w:hAnsi="Candara"/>
          <w:sz w:val="24"/>
          <w:szCs w:val="24"/>
        </w:rPr>
        <w:t>: 11 regional referral hospitals, 25 general hospitals, 26 level IV primary care facilities (HC IVs), 46 level III primary care facilities (HC IIIs), and 58 level II primary care facilities (HC IIs)</w:t>
      </w:r>
      <w:r w:rsidRPr="0016235B">
        <w:rPr>
          <w:rFonts w:ascii="Candara" w:eastAsia="MS Mincho" w:hAnsi="Candara"/>
          <w:sz w:val="24"/>
          <w:szCs w:val="24"/>
        </w:rPr>
        <w:t>. There was loss of data</w:t>
      </w:r>
      <w:r w:rsidR="008630B4" w:rsidRPr="0016235B">
        <w:rPr>
          <w:rFonts w:ascii="Candara" w:eastAsia="MS Mincho" w:hAnsi="Candara"/>
          <w:sz w:val="24"/>
          <w:szCs w:val="24"/>
        </w:rPr>
        <w:t xml:space="preserve"> for 49 facilities</w:t>
      </w:r>
      <w:r w:rsidRPr="0016235B">
        <w:rPr>
          <w:rFonts w:ascii="Candara" w:eastAsia="MS Mincho" w:hAnsi="Candara"/>
          <w:sz w:val="24"/>
          <w:szCs w:val="24"/>
        </w:rPr>
        <w:t xml:space="preserve"> due to challenges with</w:t>
      </w:r>
      <w:r w:rsidR="008630B4" w:rsidRPr="0016235B">
        <w:rPr>
          <w:rFonts w:ascii="Candara" w:eastAsia="MS Mincho" w:hAnsi="Candara"/>
          <w:sz w:val="24"/>
          <w:szCs w:val="24"/>
        </w:rPr>
        <w:t xml:space="preserve"> data</w:t>
      </w:r>
      <w:r w:rsidRPr="0016235B">
        <w:rPr>
          <w:rFonts w:ascii="Candara" w:eastAsia="MS Mincho" w:hAnsi="Candara"/>
          <w:sz w:val="24"/>
          <w:szCs w:val="24"/>
        </w:rPr>
        <w:t xml:space="preserve"> storage. </w:t>
      </w:r>
    </w:p>
    <w:p w14:paraId="2CB8B25E" w14:textId="79C38221" w:rsidR="00DA3886" w:rsidRPr="0016235B" w:rsidRDefault="00515DC8" w:rsidP="00AA665C">
      <w:pPr>
        <w:jc w:val="both"/>
        <w:rPr>
          <w:rFonts w:ascii="Candara" w:eastAsia="MS Mincho" w:hAnsi="Candara"/>
          <w:sz w:val="24"/>
          <w:szCs w:val="24"/>
        </w:rPr>
      </w:pPr>
      <w:r w:rsidRPr="0016235B">
        <w:rPr>
          <w:rFonts w:ascii="Candara" w:eastAsia="MS Mincho" w:hAnsi="Candara"/>
          <w:sz w:val="24"/>
          <w:szCs w:val="24"/>
        </w:rPr>
        <w:t xml:space="preserve">The results </w:t>
      </w:r>
      <w:r w:rsidR="00FC506D" w:rsidRPr="0016235B">
        <w:rPr>
          <w:rFonts w:ascii="Candara" w:eastAsia="MS Mincho" w:hAnsi="Candara"/>
          <w:sz w:val="24"/>
          <w:szCs w:val="24"/>
        </w:rPr>
        <w:t xml:space="preserve">show </w:t>
      </w:r>
      <w:r w:rsidR="00AB0AE6" w:rsidRPr="0016235B">
        <w:rPr>
          <w:rFonts w:ascii="Candara" w:eastAsia="MS Mincho" w:hAnsi="Candara"/>
          <w:sz w:val="24"/>
          <w:szCs w:val="24"/>
        </w:rPr>
        <w:t>important gaps in</w:t>
      </w:r>
      <w:r w:rsidR="00512D1D" w:rsidRPr="0016235B">
        <w:rPr>
          <w:rFonts w:ascii="Candara" w:eastAsia="MS Mincho" w:hAnsi="Candara"/>
          <w:sz w:val="24"/>
          <w:szCs w:val="24"/>
        </w:rPr>
        <w:t xml:space="preserve"> Uganda in</w:t>
      </w:r>
      <w:r w:rsidR="00AB0AE6" w:rsidRPr="0016235B">
        <w:rPr>
          <w:rFonts w:ascii="Candara" w:eastAsia="MS Mincho" w:hAnsi="Candara"/>
          <w:sz w:val="24"/>
          <w:szCs w:val="24"/>
        </w:rPr>
        <w:t xml:space="preserve"> availability</w:t>
      </w:r>
      <w:r w:rsidRPr="0016235B">
        <w:rPr>
          <w:rFonts w:ascii="Candara" w:eastAsia="MS Mincho" w:hAnsi="Candara"/>
          <w:sz w:val="24"/>
          <w:szCs w:val="24"/>
        </w:rPr>
        <w:t xml:space="preserve"> of services</w:t>
      </w:r>
      <w:r w:rsidR="00AB0AE6" w:rsidRPr="0016235B">
        <w:rPr>
          <w:rFonts w:ascii="Candara" w:eastAsia="MS Mincho" w:hAnsi="Candara"/>
          <w:sz w:val="24"/>
          <w:szCs w:val="24"/>
        </w:rPr>
        <w:t xml:space="preserve"> and </w:t>
      </w:r>
      <w:r w:rsidRPr="0016235B">
        <w:rPr>
          <w:rFonts w:ascii="Candara" w:eastAsia="MS Mincho" w:hAnsi="Candara"/>
          <w:sz w:val="24"/>
          <w:szCs w:val="24"/>
        </w:rPr>
        <w:t xml:space="preserve">in </w:t>
      </w:r>
      <w:r w:rsidR="00AB0AE6" w:rsidRPr="0016235B">
        <w:rPr>
          <w:rFonts w:ascii="Candara" w:eastAsia="MS Mincho" w:hAnsi="Candara"/>
          <w:sz w:val="24"/>
          <w:szCs w:val="24"/>
        </w:rPr>
        <w:t>capacity of facilities</w:t>
      </w:r>
      <w:r w:rsidR="00512D1D" w:rsidRPr="0016235B">
        <w:rPr>
          <w:rFonts w:ascii="Candara" w:eastAsia="MS Mincho" w:hAnsi="Candara"/>
          <w:sz w:val="24"/>
          <w:szCs w:val="24"/>
        </w:rPr>
        <w:t xml:space="preserve"> </w:t>
      </w:r>
      <w:r w:rsidR="00AB0AE6" w:rsidRPr="0016235B">
        <w:rPr>
          <w:rFonts w:ascii="Candara" w:eastAsia="MS Mincho" w:hAnsi="Candara"/>
          <w:sz w:val="24"/>
          <w:szCs w:val="24"/>
        </w:rPr>
        <w:t>to provide</w:t>
      </w:r>
      <w:r w:rsidRPr="0016235B">
        <w:rPr>
          <w:rFonts w:ascii="Candara" w:eastAsia="MS Mincho" w:hAnsi="Candara"/>
          <w:sz w:val="24"/>
          <w:szCs w:val="24"/>
        </w:rPr>
        <w:t xml:space="preserve"> the services</w:t>
      </w:r>
      <w:r w:rsidR="00FC506D" w:rsidRPr="0016235B">
        <w:rPr>
          <w:rFonts w:ascii="Candara" w:eastAsia="MS Mincho" w:hAnsi="Candara"/>
          <w:sz w:val="24"/>
          <w:szCs w:val="24"/>
        </w:rPr>
        <w:t xml:space="preserve">. </w:t>
      </w:r>
      <w:r w:rsidR="007A7EBC" w:rsidRPr="0016235B">
        <w:rPr>
          <w:rFonts w:ascii="Candara" w:eastAsia="MS Mincho" w:hAnsi="Candara"/>
          <w:sz w:val="24"/>
          <w:szCs w:val="24"/>
        </w:rPr>
        <w:t xml:space="preserve">Availability of most services that were enquired about was very low and facilities hardly had all the tracer items for offering the services. </w:t>
      </w:r>
    </w:p>
    <w:p w14:paraId="4D6D15FB" w14:textId="2DEF1C4F" w:rsidR="00DA3886" w:rsidRPr="0016235B" w:rsidRDefault="00DA3886" w:rsidP="00EF37B7">
      <w:pPr>
        <w:jc w:val="both"/>
        <w:rPr>
          <w:rFonts w:ascii="Candara" w:eastAsia="MS Mincho" w:hAnsi="Candara"/>
          <w:sz w:val="24"/>
          <w:szCs w:val="24"/>
        </w:rPr>
      </w:pPr>
      <w:r w:rsidRPr="0016235B">
        <w:rPr>
          <w:rFonts w:ascii="Candara" w:eastAsia="MS Mincho" w:hAnsi="Candara"/>
          <w:sz w:val="24"/>
          <w:szCs w:val="24"/>
        </w:rPr>
        <w:t xml:space="preserve">The general service readiness index in Uganda was only 52%. This can be interpreted to mean that the readiness or capacity of facilities in Uganda to provide general services was only 52%. The general service readiness index is derived as a composite of the mean of items of basic amenities, </w:t>
      </w:r>
      <w:r w:rsidR="008D243A" w:rsidRPr="0016235B">
        <w:rPr>
          <w:rFonts w:ascii="Candara" w:eastAsia="MS Mincho" w:hAnsi="Candara"/>
          <w:sz w:val="24"/>
          <w:szCs w:val="24"/>
        </w:rPr>
        <w:t xml:space="preserve">basic equipment, standard precautions for infection </w:t>
      </w:r>
      <w:r w:rsidR="008D243A" w:rsidRPr="0016235B">
        <w:rPr>
          <w:rFonts w:ascii="Candara" w:eastAsia="MS Mincho" w:hAnsi="Candara"/>
          <w:sz w:val="24"/>
          <w:szCs w:val="24"/>
        </w:rPr>
        <w:lastRenderedPageBreak/>
        <w:t xml:space="preserve">prevention and control, </w:t>
      </w:r>
      <w:r w:rsidR="00EA20A4" w:rsidRPr="0016235B">
        <w:rPr>
          <w:rFonts w:ascii="Candara" w:eastAsia="MS Mincho" w:hAnsi="Candara"/>
          <w:sz w:val="24"/>
          <w:szCs w:val="24"/>
        </w:rPr>
        <w:t>diagnostic capacity, and essential medicines. Items of standard precautions for infection prevention and control were generally available (mean</w:t>
      </w:r>
      <w:r w:rsidR="006F5901" w:rsidRPr="0016235B">
        <w:rPr>
          <w:rFonts w:ascii="Candara" w:eastAsia="MS Mincho" w:hAnsi="Candara"/>
          <w:sz w:val="24"/>
          <w:szCs w:val="24"/>
        </w:rPr>
        <w:t xml:space="preserve"> availability</w:t>
      </w:r>
      <w:r w:rsidR="00EA20A4" w:rsidRPr="0016235B">
        <w:rPr>
          <w:rFonts w:ascii="Candara" w:eastAsia="MS Mincho" w:hAnsi="Candara"/>
          <w:sz w:val="24"/>
          <w:szCs w:val="24"/>
        </w:rPr>
        <w:t xml:space="preserve">: 82%) and therefore contributed the most to the general service readiness index. </w:t>
      </w:r>
      <w:r w:rsidR="00311CD3" w:rsidRPr="0016235B">
        <w:rPr>
          <w:rFonts w:ascii="Candara" w:eastAsia="MS Mincho" w:hAnsi="Candara"/>
          <w:sz w:val="24"/>
          <w:szCs w:val="24"/>
        </w:rPr>
        <w:t xml:space="preserve">This was followed by items of basic amenities (mean availability: 56%) and items of diagnostic capacity (mean availability: 55%). </w:t>
      </w:r>
      <w:r w:rsidR="00335805" w:rsidRPr="0016235B">
        <w:rPr>
          <w:rFonts w:ascii="Candara" w:eastAsia="MS Mincho" w:hAnsi="Candara"/>
          <w:sz w:val="24"/>
          <w:szCs w:val="24"/>
        </w:rPr>
        <w:t xml:space="preserve">Items of essential medicines (mean availability: 32%) and basic equipment (mean availability: 37%) </w:t>
      </w:r>
      <w:r w:rsidR="00E47862" w:rsidRPr="0016235B">
        <w:rPr>
          <w:rFonts w:ascii="Candara" w:eastAsia="MS Mincho" w:hAnsi="Candara"/>
          <w:sz w:val="24"/>
          <w:szCs w:val="24"/>
        </w:rPr>
        <w:t xml:space="preserve">were </w:t>
      </w:r>
      <w:r w:rsidR="00335805" w:rsidRPr="0016235B">
        <w:rPr>
          <w:rFonts w:ascii="Candara" w:eastAsia="MS Mincho" w:hAnsi="Candara"/>
          <w:sz w:val="24"/>
          <w:szCs w:val="24"/>
        </w:rPr>
        <w:t>less available and therefore responsible for substantially pulling the general service readiness index down.</w:t>
      </w:r>
    </w:p>
    <w:p w14:paraId="66665C63" w14:textId="5DDBB83F" w:rsidR="00A35540" w:rsidRPr="0016235B" w:rsidRDefault="00A659B7" w:rsidP="00AA665C">
      <w:pPr>
        <w:jc w:val="both"/>
        <w:rPr>
          <w:rFonts w:ascii="Candara" w:eastAsia="MS Mincho" w:hAnsi="Candara"/>
          <w:sz w:val="24"/>
          <w:szCs w:val="24"/>
        </w:rPr>
      </w:pPr>
      <w:r w:rsidRPr="0016235B">
        <w:rPr>
          <w:rFonts w:ascii="Candara" w:eastAsia="MS Mincho" w:hAnsi="Candara"/>
          <w:sz w:val="24"/>
          <w:szCs w:val="24"/>
        </w:rPr>
        <w:t xml:space="preserve"> </w:t>
      </w:r>
      <w:r w:rsidR="001C363F" w:rsidRPr="0016235B">
        <w:rPr>
          <w:rFonts w:ascii="Candara" w:eastAsia="MS Mincho" w:hAnsi="Candara"/>
          <w:sz w:val="24"/>
          <w:szCs w:val="24"/>
        </w:rPr>
        <w:t xml:space="preserve">Service </w:t>
      </w:r>
      <w:r w:rsidR="00DA3886" w:rsidRPr="0016235B">
        <w:rPr>
          <w:rFonts w:ascii="Candara" w:eastAsia="MS Mincho" w:hAnsi="Candara"/>
          <w:sz w:val="24"/>
          <w:szCs w:val="24"/>
        </w:rPr>
        <w:t xml:space="preserve">specific </w:t>
      </w:r>
      <w:r w:rsidR="001C363F" w:rsidRPr="0016235B">
        <w:rPr>
          <w:rFonts w:ascii="Candara" w:eastAsia="MS Mincho" w:hAnsi="Candara"/>
          <w:sz w:val="24"/>
          <w:szCs w:val="24"/>
        </w:rPr>
        <w:t>availability and readiness varied quite markedly by facility level, health region, facility ownership and urban-rural location of the facility. Generally, service availability and readiness increased with increase in facility level, was better in private than in public facilities, and better in urban than in rural facilities. The general picture by health region was mixed</w:t>
      </w:r>
      <w:r w:rsidR="005B3555" w:rsidRPr="0016235B">
        <w:rPr>
          <w:rFonts w:ascii="Candara" w:eastAsia="MS Mincho" w:hAnsi="Candara"/>
          <w:sz w:val="24"/>
          <w:szCs w:val="24"/>
        </w:rPr>
        <w:t xml:space="preserve">, but service availability and readiness in Karamoja health region was </w:t>
      </w:r>
      <w:r w:rsidR="00B67C52" w:rsidRPr="0016235B">
        <w:rPr>
          <w:rFonts w:ascii="Candara" w:eastAsia="MS Mincho" w:hAnsi="Candara"/>
          <w:sz w:val="24"/>
          <w:szCs w:val="24"/>
        </w:rPr>
        <w:t xml:space="preserve">generally </w:t>
      </w:r>
      <w:r w:rsidR="005B3555" w:rsidRPr="0016235B">
        <w:rPr>
          <w:rFonts w:ascii="Candara" w:eastAsia="MS Mincho" w:hAnsi="Candara"/>
          <w:sz w:val="24"/>
          <w:szCs w:val="24"/>
        </w:rPr>
        <w:t>poorer than elsewhere in Uganda</w:t>
      </w:r>
      <w:r w:rsidR="001C363F" w:rsidRPr="0016235B">
        <w:rPr>
          <w:rFonts w:ascii="Candara" w:eastAsia="MS Mincho" w:hAnsi="Candara"/>
          <w:sz w:val="24"/>
          <w:szCs w:val="24"/>
        </w:rPr>
        <w:t xml:space="preserve">. </w:t>
      </w:r>
    </w:p>
    <w:p w14:paraId="1F4F500E" w14:textId="1023B71C" w:rsidR="00DF09ED" w:rsidRPr="0016235B" w:rsidRDefault="00BE7074" w:rsidP="00AA665C">
      <w:pPr>
        <w:jc w:val="both"/>
        <w:rPr>
          <w:rFonts w:ascii="Candara" w:eastAsia="MS Mincho" w:hAnsi="Candara"/>
          <w:sz w:val="24"/>
          <w:szCs w:val="24"/>
        </w:rPr>
      </w:pPr>
      <w:r w:rsidRPr="0016235B">
        <w:rPr>
          <w:rFonts w:ascii="Candara" w:eastAsia="MS Mincho" w:hAnsi="Candara"/>
          <w:sz w:val="24"/>
          <w:szCs w:val="24"/>
        </w:rPr>
        <w:t xml:space="preserve">Some services were more available, others were quite rare. </w:t>
      </w:r>
      <w:r w:rsidR="005E70A2" w:rsidRPr="0016235B">
        <w:rPr>
          <w:rFonts w:ascii="Candara" w:eastAsia="MS Mincho" w:hAnsi="Candara"/>
          <w:sz w:val="24"/>
          <w:szCs w:val="24"/>
        </w:rPr>
        <w:t>Availability of services for malaria was near-universal, with up to 97% of facilities indicating that they offered malaria</w:t>
      </w:r>
      <w:r w:rsidR="00560BBA" w:rsidRPr="0016235B">
        <w:rPr>
          <w:rFonts w:ascii="Candara" w:eastAsia="MS Mincho" w:hAnsi="Candara"/>
          <w:sz w:val="24"/>
          <w:szCs w:val="24"/>
        </w:rPr>
        <w:t xml:space="preserve"> services</w:t>
      </w:r>
      <w:r w:rsidR="005E70A2" w:rsidRPr="0016235B">
        <w:rPr>
          <w:rFonts w:ascii="Candara" w:eastAsia="MS Mincho" w:hAnsi="Candara"/>
          <w:sz w:val="24"/>
          <w:szCs w:val="24"/>
        </w:rPr>
        <w:t>.</w:t>
      </w:r>
      <w:r w:rsidR="00560BBA" w:rsidRPr="0016235B">
        <w:rPr>
          <w:rFonts w:ascii="Candara" w:eastAsia="MS Mincho" w:hAnsi="Candara"/>
          <w:sz w:val="24"/>
          <w:szCs w:val="24"/>
        </w:rPr>
        <w:t xml:space="preserve"> </w:t>
      </w:r>
      <w:r w:rsidR="000878B7" w:rsidRPr="0016235B">
        <w:rPr>
          <w:rFonts w:ascii="Candara" w:eastAsia="MS Mincho" w:hAnsi="Candara"/>
          <w:sz w:val="24"/>
          <w:szCs w:val="24"/>
        </w:rPr>
        <w:t>About</w:t>
      </w:r>
      <w:r w:rsidR="00560BBA" w:rsidRPr="0016235B">
        <w:rPr>
          <w:rFonts w:ascii="Candara" w:eastAsia="MS Mincho" w:hAnsi="Candara"/>
          <w:sz w:val="24"/>
          <w:szCs w:val="24"/>
        </w:rPr>
        <w:t xml:space="preserve"> 3% of facilities indicated that they did not provide services for malaria</w:t>
      </w:r>
      <w:r w:rsidR="000878B7" w:rsidRPr="0016235B">
        <w:rPr>
          <w:rFonts w:ascii="Candara" w:eastAsia="MS Mincho" w:hAnsi="Candara"/>
          <w:sz w:val="24"/>
          <w:szCs w:val="24"/>
        </w:rPr>
        <w:t>; this is surprising g</w:t>
      </w:r>
      <w:r w:rsidR="00560BBA" w:rsidRPr="0016235B">
        <w:rPr>
          <w:rFonts w:ascii="Candara" w:eastAsia="MS Mincho" w:hAnsi="Candara"/>
          <w:sz w:val="24"/>
          <w:szCs w:val="24"/>
        </w:rPr>
        <w:t>iven that malaria is endemic in all regions of Uganda</w:t>
      </w:r>
      <w:r w:rsidR="000878B7" w:rsidRPr="0016235B">
        <w:rPr>
          <w:rFonts w:ascii="Candara" w:eastAsia="MS Mincho" w:hAnsi="Candara"/>
          <w:sz w:val="24"/>
          <w:szCs w:val="24"/>
        </w:rPr>
        <w:t xml:space="preserve"> and may be due to an error in data collection. </w:t>
      </w:r>
      <w:r w:rsidR="003C5CBD" w:rsidRPr="0016235B">
        <w:rPr>
          <w:rFonts w:ascii="Candara" w:eastAsia="MS Mincho" w:hAnsi="Candara"/>
          <w:sz w:val="24"/>
          <w:szCs w:val="24"/>
        </w:rPr>
        <w:t>The great majority of the facilities reported availability of services for cardiovascular diseases (85%), family planning (85%), immunization (85%), and sexually transmitted infections (83%). The availability was particularly low for blood transfusion services (in 13% of facilities)</w:t>
      </w:r>
      <w:r w:rsidR="0079466D" w:rsidRPr="0016235B">
        <w:rPr>
          <w:rFonts w:ascii="Candara" w:eastAsia="MS Mincho" w:hAnsi="Candara"/>
          <w:sz w:val="24"/>
          <w:szCs w:val="24"/>
        </w:rPr>
        <w:t xml:space="preserve"> and</w:t>
      </w:r>
      <w:r w:rsidR="003C5CBD" w:rsidRPr="0016235B">
        <w:rPr>
          <w:rFonts w:ascii="Candara" w:eastAsia="MS Mincho" w:hAnsi="Candara"/>
          <w:sz w:val="24"/>
          <w:szCs w:val="24"/>
        </w:rPr>
        <w:t xml:space="preserve"> </w:t>
      </w:r>
      <w:r w:rsidR="0079466D" w:rsidRPr="0016235B">
        <w:rPr>
          <w:rFonts w:ascii="Candara" w:eastAsia="MS Mincho" w:hAnsi="Candara"/>
          <w:sz w:val="24"/>
          <w:szCs w:val="24"/>
        </w:rPr>
        <w:t>comprehensive emergency obstetric care (</w:t>
      </w:r>
      <w:proofErr w:type="spellStart"/>
      <w:r w:rsidR="0079466D" w:rsidRPr="0016235B">
        <w:rPr>
          <w:rFonts w:ascii="Candara" w:eastAsia="MS Mincho" w:hAnsi="Candara"/>
          <w:sz w:val="24"/>
          <w:szCs w:val="24"/>
        </w:rPr>
        <w:t>CEmOC</w:t>
      </w:r>
      <w:proofErr w:type="spellEnd"/>
      <w:r w:rsidR="0079466D" w:rsidRPr="0016235B">
        <w:rPr>
          <w:rFonts w:ascii="Candara" w:eastAsia="MS Mincho" w:hAnsi="Candara"/>
          <w:sz w:val="24"/>
          <w:szCs w:val="24"/>
        </w:rPr>
        <w:t xml:space="preserve">) (16%) which may be </w:t>
      </w:r>
      <w:r w:rsidR="002B2429" w:rsidRPr="0016235B">
        <w:rPr>
          <w:rFonts w:ascii="Candara" w:eastAsia="MS Mincho" w:hAnsi="Candara"/>
          <w:sz w:val="24"/>
          <w:szCs w:val="24"/>
        </w:rPr>
        <w:t>since</w:t>
      </w:r>
      <w:r w:rsidR="003C5CBD" w:rsidRPr="0016235B">
        <w:rPr>
          <w:rFonts w:ascii="Candara" w:eastAsia="MS Mincho" w:hAnsi="Candara"/>
          <w:sz w:val="24"/>
          <w:szCs w:val="24"/>
        </w:rPr>
        <w:t xml:space="preserve"> these services are</w:t>
      </w:r>
      <w:r w:rsidR="009D6447" w:rsidRPr="0016235B">
        <w:rPr>
          <w:rFonts w:ascii="Candara" w:eastAsia="MS Mincho" w:hAnsi="Candara"/>
          <w:sz w:val="24"/>
          <w:szCs w:val="24"/>
        </w:rPr>
        <w:t xml:space="preserve"> restricted to higher level facilities.</w:t>
      </w:r>
    </w:p>
    <w:p w14:paraId="4224FF70" w14:textId="77777777" w:rsidR="008438A3" w:rsidRPr="0016235B" w:rsidRDefault="008438A3" w:rsidP="00AA665C">
      <w:pPr>
        <w:jc w:val="both"/>
        <w:rPr>
          <w:rFonts w:ascii="Candara" w:eastAsia="MS Mincho" w:hAnsi="Candara"/>
          <w:sz w:val="24"/>
          <w:szCs w:val="24"/>
        </w:rPr>
      </w:pPr>
    </w:p>
    <w:p w14:paraId="31B48728" w14:textId="75B1D428" w:rsidR="008438A3" w:rsidRPr="0016235B" w:rsidRDefault="008438A3" w:rsidP="001C6B81">
      <w:pPr>
        <w:spacing w:after="0"/>
        <w:jc w:val="both"/>
        <w:rPr>
          <w:rFonts w:ascii="Candara" w:eastAsia="MS Mincho" w:hAnsi="Candara"/>
          <w:b/>
          <w:sz w:val="24"/>
          <w:szCs w:val="24"/>
        </w:rPr>
      </w:pPr>
      <w:r w:rsidRPr="0016235B">
        <w:rPr>
          <w:rFonts w:ascii="Candara" w:eastAsia="MS Mincho" w:hAnsi="Candara"/>
          <w:b/>
          <w:sz w:val="24"/>
          <w:szCs w:val="24"/>
        </w:rPr>
        <w:t>Conclusion and recommendations:</w:t>
      </w:r>
    </w:p>
    <w:p w14:paraId="4E079EB0" w14:textId="11FDACD3" w:rsidR="00F04C0D" w:rsidRPr="0016235B" w:rsidRDefault="00F04C0D" w:rsidP="00AA665C">
      <w:pPr>
        <w:jc w:val="both"/>
        <w:rPr>
          <w:rFonts w:ascii="Candara" w:eastAsia="MS Mincho" w:hAnsi="Candara"/>
          <w:sz w:val="24"/>
          <w:szCs w:val="24"/>
        </w:rPr>
      </w:pPr>
      <w:r w:rsidRPr="0016235B">
        <w:rPr>
          <w:rFonts w:ascii="Candara" w:eastAsia="MS Mincho" w:hAnsi="Candara"/>
          <w:sz w:val="24"/>
          <w:szCs w:val="24"/>
        </w:rPr>
        <w:t xml:space="preserve">The above findings suggest that access to and quality of essential health care services in Uganda </w:t>
      </w:r>
      <w:r w:rsidR="00205901" w:rsidRPr="0016235B">
        <w:rPr>
          <w:rFonts w:ascii="Candara" w:eastAsia="MS Mincho" w:hAnsi="Candara"/>
          <w:sz w:val="24"/>
          <w:szCs w:val="24"/>
        </w:rPr>
        <w:t xml:space="preserve">has improved though challenges </w:t>
      </w:r>
      <w:proofErr w:type="gramStart"/>
      <w:r w:rsidR="00205901" w:rsidRPr="0016235B">
        <w:rPr>
          <w:rFonts w:ascii="Candara" w:eastAsia="MS Mincho" w:hAnsi="Candara"/>
          <w:sz w:val="24"/>
          <w:szCs w:val="24"/>
        </w:rPr>
        <w:t>still remain</w:t>
      </w:r>
      <w:proofErr w:type="gramEnd"/>
      <w:r w:rsidR="00205901" w:rsidRPr="0016235B">
        <w:rPr>
          <w:rFonts w:ascii="Candara" w:eastAsia="MS Mincho" w:hAnsi="Candara"/>
          <w:sz w:val="24"/>
          <w:szCs w:val="24"/>
        </w:rPr>
        <w:t xml:space="preserve"> to be addressed</w:t>
      </w:r>
      <w:r w:rsidRPr="0016235B">
        <w:rPr>
          <w:rFonts w:ascii="Candara" w:eastAsia="MS Mincho" w:hAnsi="Candara"/>
          <w:sz w:val="24"/>
          <w:szCs w:val="24"/>
        </w:rPr>
        <w:t>.</w:t>
      </w:r>
      <w:r w:rsidR="005F46CD" w:rsidRPr="0016235B">
        <w:rPr>
          <w:rFonts w:ascii="Candara" w:eastAsia="MS Mincho" w:hAnsi="Candara"/>
          <w:sz w:val="24"/>
          <w:szCs w:val="24"/>
        </w:rPr>
        <w:t xml:space="preserve"> </w:t>
      </w:r>
      <w:r w:rsidR="00B11272" w:rsidRPr="0016235B">
        <w:rPr>
          <w:rFonts w:ascii="Candara" w:eastAsia="MS Mincho" w:hAnsi="Candara"/>
          <w:sz w:val="24"/>
          <w:szCs w:val="24"/>
        </w:rPr>
        <w:t>This</w:t>
      </w:r>
      <w:r w:rsidR="001F4B57" w:rsidRPr="0016235B">
        <w:rPr>
          <w:rFonts w:ascii="Candara" w:eastAsia="MS Mincho" w:hAnsi="Candara"/>
          <w:sz w:val="24"/>
          <w:szCs w:val="24"/>
        </w:rPr>
        <w:t>, together with the large</w:t>
      </w:r>
      <w:r w:rsidR="00731D08" w:rsidRPr="0016235B">
        <w:rPr>
          <w:rFonts w:ascii="Candara" w:eastAsia="MS Mincho" w:hAnsi="Candara"/>
          <w:sz w:val="24"/>
          <w:szCs w:val="24"/>
        </w:rPr>
        <w:t xml:space="preserve"> inequalities by facility level, health region, facility ownership and urban-rural l</w:t>
      </w:r>
      <w:r w:rsidR="001F4B57" w:rsidRPr="0016235B">
        <w:rPr>
          <w:rFonts w:ascii="Candara" w:eastAsia="MS Mincho" w:hAnsi="Candara"/>
          <w:sz w:val="24"/>
          <w:szCs w:val="24"/>
        </w:rPr>
        <w:t>o</w:t>
      </w:r>
      <w:r w:rsidR="00731D08" w:rsidRPr="0016235B">
        <w:rPr>
          <w:rFonts w:ascii="Candara" w:eastAsia="MS Mincho" w:hAnsi="Candara"/>
          <w:sz w:val="24"/>
          <w:szCs w:val="24"/>
        </w:rPr>
        <w:t>cation,</w:t>
      </w:r>
      <w:r w:rsidR="00B11272" w:rsidRPr="0016235B">
        <w:rPr>
          <w:rFonts w:ascii="Candara" w:eastAsia="MS Mincho" w:hAnsi="Candara"/>
          <w:sz w:val="24"/>
          <w:szCs w:val="24"/>
        </w:rPr>
        <w:t xml:space="preserve"> may greatly impact on Uganda’s progress towards Universal Health Coverage and the Sustainable Development Goals. </w:t>
      </w:r>
      <w:r w:rsidR="005F46CD" w:rsidRPr="0016235B">
        <w:rPr>
          <w:rFonts w:ascii="Candara" w:eastAsia="MS Mincho" w:hAnsi="Candara"/>
          <w:sz w:val="24"/>
          <w:szCs w:val="24"/>
        </w:rPr>
        <w:t xml:space="preserve">Greater efforts are therefore required to improve the availability </w:t>
      </w:r>
      <w:r w:rsidR="00BE735F" w:rsidRPr="0016235B">
        <w:rPr>
          <w:rFonts w:ascii="Candara" w:eastAsia="MS Mincho" w:hAnsi="Candara"/>
          <w:sz w:val="24"/>
          <w:szCs w:val="24"/>
        </w:rPr>
        <w:t xml:space="preserve">of </w:t>
      </w:r>
      <w:r w:rsidR="005F46CD" w:rsidRPr="0016235B">
        <w:rPr>
          <w:rFonts w:ascii="Candara" w:eastAsia="MS Mincho" w:hAnsi="Candara"/>
          <w:sz w:val="24"/>
          <w:szCs w:val="24"/>
        </w:rPr>
        <w:t>services and capacity of health care facilities to offer the services. Special focus is</w:t>
      </w:r>
      <w:r w:rsidR="00BE735F" w:rsidRPr="0016235B">
        <w:rPr>
          <w:rFonts w:ascii="Candara" w:eastAsia="MS Mincho" w:hAnsi="Candara"/>
          <w:sz w:val="24"/>
          <w:szCs w:val="24"/>
        </w:rPr>
        <w:t xml:space="preserve"> particularly</w:t>
      </w:r>
      <w:r w:rsidR="005F46CD" w:rsidRPr="0016235B">
        <w:rPr>
          <w:rFonts w:ascii="Candara" w:eastAsia="MS Mincho" w:hAnsi="Candara"/>
          <w:sz w:val="24"/>
          <w:szCs w:val="24"/>
        </w:rPr>
        <w:t xml:space="preserve"> required to improve the availability of essential medicines, basic equipment, and services for blood transfusion, </w:t>
      </w:r>
      <w:r w:rsidR="00BE735F" w:rsidRPr="0016235B">
        <w:rPr>
          <w:rFonts w:ascii="Candara" w:eastAsia="MS Mincho" w:hAnsi="Candara"/>
          <w:sz w:val="24"/>
          <w:szCs w:val="24"/>
        </w:rPr>
        <w:t xml:space="preserve">and </w:t>
      </w:r>
      <w:r w:rsidR="005F46CD" w:rsidRPr="0016235B">
        <w:rPr>
          <w:rFonts w:ascii="Candara" w:eastAsia="MS Mincho" w:hAnsi="Candara"/>
          <w:sz w:val="24"/>
          <w:szCs w:val="24"/>
        </w:rPr>
        <w:t xml:space="preserve">comprehensive emergency obstetric care. </w:t>
      </w:r>
    </w:p>
    <w:p w14:paraId="66FFCB09" w14:textId="77777777" w:rsidR="00CF2DF6" w:rsidRPr="0016235B" w:rsidRDefault="00CF2DF6" w:rsidP="00427FE2">
      <w:pPr>
        <w:jc w:val="both"/>
        <w:rPr>
          <w:rFonts w:ascii="Candara" w:eastAsia="MS Mincho" w:hAnsi="Candara"/>
          <w:sz w:val="24"/>
          <w:szCs w:val="24"/>
        </w:rPr>
      </w:pPr>
    </w:p>
    <w:p w14:paraId="3AD9874E" w14:textId="77777777" w:rsidR="00CF2DF6" w:rsidRPr="0016235B" w:rsidRDefault="00CF2DF6" w:rsidP="00427FE2">
      <w:pPr>
        <w:jc w:val="both"/>
        <w:rPr>
          <w:rFonts w:ascii="Candara" w:eastAsia="MS Mincho" w:hAnsi="Candara"/>
          <w:sz w:val="24"/>
          <w:szCs w:val="24"/>
        </w:rPr>
      </w:pPr>
    </w:p>
    <w:p w14:paraId="1DCD3293" w14:textId="77777777" w:rsidR="00CF2DF6" w:rsidRPr="0016235B" w:rsidRDefault="00CF2DF6" w:rsidP="00427FE2">
      <w:pPr>
        <w:jc w:val="both"/>
        <w:rPr>
          <w:rFonts w:ascii="Candara" w:eastAsia="MS Mincho" w:hAnsi="Candara"/>
          <w:sz w:val="24"/>
          <w:szCs w:val="24"/>
        </w:rPr>
      </w:pPr>
    </w:p>
    <w:p w14:paraId="5584E397" w14:textId="204FD8B0"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 xml:space="preserve">Sound information on the supply and quality of health services is necessary for health systems management, monitoring and evaluation (WHO, 2014). With the increased demand for accountability and the need to demonstrate results at country level, information is needed to track how health systems would respond to increased inputs and improved processes over time and the impact such inputs and processes have on improved health outcomes and better health status. Despite heightened investments in </w:t>
      </w:r>
      <w:r w:rsidRPr="0016235B">
        <w:rPr>
          <w:rFonts w:ascii="Candara" w:eastAsia="MS Mincho" w:hAnsi="Candara"/>
          <w:sz w:val="24"/>
          <w:szCs w:val="24"/>
        </w:rPr>
        <w:lastRenderedPageBreak/>
        <w:t xml:space="preserve">health systems, few countries have up-to-date information on the availability of health systems that covers both the public and private sectors. The 2018 Service Availability and Readiness Assessment (SARA) for </w:t>
      </w:r>
      <w:r w:rsidR="00EF37B7" w:rsidRPr="0016235B">
        <w:rPr>
          <w:rFonts w:ascii="Candara" w:eastAsia="MS Mincho" w:hAnsi="Candara"/>
          <w:sz w:val="24"/>
          <w:szCs w:val="24"/>
        </w:rPr>
        <w:t>Uganda was</w:t>
      </w:r>
      <w:r w:rsidRPr="0016235B">
        <w:rPr>
          <w:rFonts w:ascii="Candara" w:eastAsia="MS Mincho" w:hAnsi="Candara"/>
          <w:sz w:val="24"/>
          <w:szCs w:val="24"/>
        </w:rPr>
        <w:t xml:space="preserve"> conducted to assist the health sector in assessing and monitoring service readiness and capacity at region and health facility levels on a regular basis. It was based on the World Health Organization (WHO) Service Availability and Readiness Assessment (SARA) methodology, designed to assess and monitor the service availability and readiness of the health sector to support the planning and managing of the health sector. The SARA provides key information on the state of the health system in terms of service availability and readiness of the facilities to provide key information for measuring progress in health system strengthening over time.</w:t>
      </w:r>
    </w:p>
    <w:p w14:paraId="661BEC39" w14:textId="77777777"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The sampling was multi-stage with 2 districts being randomly selected from each of the health regions, except Kampala. One of the districts was “new” and the other “old” based on whether the district had been created before or 2010 and after.</w:t>
      </w:r>
    </w:p>
    <w:p w14:paraId="584234C7" w14:textId="46323FA2"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 xml:space="preserve">A nationally representative sample of 215 health facilities (including public, PNFP and private sector facilities), stratified by health facility level of care and managing authority, was selected from the 10 health regions, using the Health Facility Master List. </w:t>
      </w:r>
      <w:r w:rsidRPr="0016235B">
        <w:rPr>
          <w:rFonts w:ascii="Candara" w:hAnsi="Candara"/>
          <w:sz w:val="24"/>
          <w:szCs w:val="24"/>
        </w:rPr>
        <w:t xml:space="preserve">In this sampling procedure 56% were government hospitals, 21.1% were </w:t>
      </w:r>
      <w:r w:rsidRPr="0016235B">
        <w:rPr>
          <w:rFonts w:ascii="Candara" w:eastAsia="Times New Roman" w:hAnsi="Candara" w:cs="Times New Roman"/>
          <w:color w:val="000000"/>
          <w:sz w:val="24"/>
          <w:szCs w:val="24"/>
        </w:rPr>
        <w:t>private-not-for-profit</w:t>
      </w:r>
      <w:r w:rsidRPr="0016235B">
        <w:rPr>
          <w:rFonts w:ascii="Candara" w:hAnsi="Candara"/>
          <w:sz w:val="24"/>
          <w:szCs w:val="24"/>
        </w:rPr>
        <w:t xml:space="preserve">, 22.7% were private for profit. WHO SARA standard tool/facility inventory </w:t>
      </w:r>
      <w:r w:rsidR="00D91202" w:rsidRPr="0016235B">
        <w:rPr>
          <w:rFonts w:ascii="Candara" w:hAnsi="Candara"/>
          <w:sz w:val="24"/>
          <w:szCs w:val="24"/>
        </w:rPr>
        <w:t>tool</w:t>
      </w:r>
      <w:r w:rsidRPr="0016235B">
        <w:rPr>
          <w:rFonts w:ascii="Candara" w:hAnsi="Candara"/>
          <w:sz w:val="24"/>
          <w:szCs w:val="24"/>
        </w:rPr>
        <w:t xml:space="preserve"> was used for data collection.</w:t>
      </w:r>
    </w:p>
    <w:p w14:paraId="7EEF899C" w14:textId="77777777"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 xml:space="preserve">The findings were stratified by facility type, region, managing authority, and urban/rural areas of the facility. Response completeness was higher than anticipated. The report comprises three parts; the first part examines general service readiness and the second part examines specific service availability and readiness and lastly, the last part discusses data quality assessment. </w:t>
      </w:r>
    </w:p>
    <w:p w14:paraId="467F2546" w14:textId="77777777"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 xml:space="preserve">Readiness summary scores were computed for each health service by taking the mean of the availabilities of tracer items at facilities providing the service. Service Readiness refers to the capacity of the health facilities to provide health services. The readiness in this aspect showed the basic requirements to provide services such as infrastructure, amenities, basic equipment, and standard precautions for infection control, diagnostic tests, medicines and commodities. Information on readiness is based on five domains of (1) standard precautions, (2) basic amenities, (3) basic equipment (4) essential medicines (5) diagnostic capacity. Generally, the service readiness index was 52% - implying 52% of all health facilities are ready to provide health services. Based on the readiness variables, 56% have the basic amenities to provide services; 37% have the basic equipment required, 32% have essential medicines, 82% have the standard precautions and 55% have diagnostic capacity. Regional referrals hospitals had the highest service index of 78% followed by the general hospitals with 77%. On the other hand, the Private facilities have the highest general readiness index (58%) compared with the public (47%). In terms of regions, Midwest had the highest readiness index (68%) and least region was west Nile (46%). There was no significant difference between urban and rural health facilities. </w:t>
      </w:r>
    </w:p>
    <w:p w14:paraId="16C5D529" w14:textId="77777777" w:rsidR="00427FE2" w:rsidRPr="0016235B" w:rsidRDefault="00427FE2" w:rsidP="00427FE2">
      <w:pPr>
        <w:jc w:val="both"/>
        <w:rPr>
          <w:rFonts w:ascii="Candara" w:hAnsi="Candara"/>
        </w:rPr>
      </w:pPr>
    </w:p>
    <w:p w14:paraId="3E8F3A7F" w14:textId="7AABE604" w:rsidR="00427FE2" w:rsidRPr="0016235B" w:rsidRDefault="00427FE2" w:rsidP="00427FE2">
      <w:pPr>
        <w:jc w:val="both"/>
        <w:rPr>
          <w:rFonts w:ascii="Candara" w:eastAsia="MS Mincho" w:hAnsi="Candara"/>
          <w:sz w:val="24"/>
          <w:szCs w:val="24"/>
        </w:rPr>
      </w:pPr>
      <w:r w:rsidRPr="0016235B">
        <w:rPr>
          <w:rFonts w:ascii="Candara" w:hAnsi="Candara"/>
        </w:rPr>
        <w:t xml:space="preserve"> </w:t>
      </w:r>
      <w:r w:rsidRPr="0016235B">
        <w:rPr>
          <w:rFonts w:ascii="Candara" w:eastAsia="MS Mincho" w:hAnsi="Candara"/>
          <w:sz w:val="24"/>
          <w:szCs w:val="24"/>
        </w:rPr>
        <w:t xml:space="preserve">Availability and readiness </w:t>
      </w:r>
      <w:r w:rsidR="00B8607B" w:rsidRPr="0016235B">
        <w:rPr>
          <w:rFonts w:ascii="Candara" w:eastAsia="MS Mincho" w:hAnsi="Candara"/>
          <w:sz w:val="24"/>
          <w:szCs w:val="24"/>
        </w:rPr>
        <w:t>were</w:t>
      </w:r>
      <w:r w:rsidRPr="0016235B">
        <w:rPr>
          <w:rFonts w:ascii="Candara" w:eastAsia="MS Mincho" w:hAnsi="Candara"/>
          <w:sz w:val="24"/>
          <w:szCs w:val="24"/>
        </w:rPr>
        <w:t xml:space="preserve"> assessed for 29 areas of specific service provision. “Availability” signifies the percentage of all facilities in the sample that said that they </w:t>
      </w:r>
      <w:r w:rsidRPr="0016235B">
        <w:rPr>
          <w:rFonts w:ascii="Candara" w:eastAsia="MS Mincho" w:hAnsi="Candara"/>
          <w:sz w:val="24"/>
          <w:szCs w:val="24"/>
        </w:rPr>
        <w:lastRenderedPageBreak/>
        <w:t>offered the specific service in question.  A readiness score of 50 signifies that, on average, half of the facilities that offered the service had each of the requisite inputs for delivering that service. “Availability” varies considerably. Some services (such as immunization for children under five) are expected to be provided in almost all health facilities. Other more specialist services would only be expected to be provided by a few of health facilities.</w:t>
      </w:r>
    </w:p>
    <w:p w14:paraId="17C3E13F" w14:textId="77777777"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 xml:space="preserve"> Malaria services, ANC, family planning, child immunization and preventive and curative child health services were available in 70% or more of all Facilities. The assessment also shows that more facilities provided health services for non-communicable disease such as cervical cancer (31%), chronic respiratory disease (71%), and cardiovascular disease (85%). Tuberculosis (32%), antiretroviral therapy (42%), and HIV/AIDS care and support services (41%) were also not widely available. Prevention of mother-to-child transmission of HIV and HIV counselling and testing services showed an increase in availability from 2014, while for other services the percentage of facilities offering the service remained stable across the two years.</w:t>
      </w:r>
    </w:p>
    <w:p w14:paraId="50A4EFD3" w14:textId="77777777"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 xml:space="preserve">HIV counselling and testing had the highest readiness score (81%) among all other health services. Malaria and tuberculosis readiness scores were moderately high (xx% and xx% respectively). Antiretroviral therapy had the lowest readiness score (xx%). </w:t>
      </w:r>
    </w:p>
    <w:p w14:paraId="7A23FCCA" w14:textId="77777777" w:rsidR="00427FE2" w:rsidRPr="0016235B" w:rsidRDefault="00427FE2" w:rsidP="00427FE2">
      <w:pPr>
        <w:jc w:val="both"/>
        <w:rPr>
          <w:rFonts w:ascii="Candara" w:eastAsia="MS Mincho" w:hAnsi="Candara"/>
          <w:sz w:val="24"/>
          <w:szCs w:val="24"/>
        </w:rPr>
      </w:pPr>
      <w:r w:rsidRPr="0016235B">
        <w:rPr>
          <w:rFonts w:ascii="Candara" w:eastAsia="MS Mincho" w:hAnsi="Candara"/>
          <w:sz w:val="24"/>
          <w:szCs w:val="24"/>
        </w:rPr>
        <w:t xml:space="preserve">In conclusion, </w:t>
      </w:r>
    </w:p>
    <w:p w14:paraId="3CF62448" w14:textId="3B04FF4D" w:rsidR="00427FE2" w:rsidRPr="0016235B" w:rsidRDefault="00427FE2" w:rsidP="00427FE2">
      <w:pPr>
        <w:rPr>
          <w:rFonts w:ascii="Candara" w:hAnsi="Candara"/>
        </w:rPr>
        <w:sectPr w:rsidR="00427FE2" w:rsidRPr="0016235B" w:rsidSect="00B15C32">
          <w:footerReference w:type="default" r:id="rId8"/>
          <w:pgSz w:w="11906" w:h="16838"/>
          <w:pgMar w:top="851" w:right="1440" w:bottom="993" w:left="1440" w:header="708" w:footer="708" w:gutter="0"/>
          <w:pgNumType w:fmt="lowerRoman"/>
          <w:cols w:space="708"/>
          <w:docGrid w:linePitch="360"/>
        </w:sectPr>
      </w:pPr>
    </w:p>
    <w:p w14:paraId="7406034F" w14:textId="16D8C973" w:rsidR="00ED33EF" w:rsidRPr="0016235B" w:rsidRDefault="00ED33EF" w:rsidP="005722F2">
      <w:pPr>
        <w:pStyle w:val="Heading1"/>
        <w:numPr>
          <w:ilvl w:val="0"/>
          <w:numId w:val="25"/>
        </w:numPr>
        <w:rPr>
          <w:rFonts w:ascii="Candara" w:hAnsi="Candara"/>
          <w:b/>
          <w:sz w:val="28"/>
          <w:szCs w:val="28"/>
        </w:rPr>
      </w:pPr>
      <w:bookmarkStart w:id="7" w:name="_Toc11494020"/>
      <w:r w:rsidRPr="0016235B">
        <w:rPr>
          <w:rFonts w:ascii="Candara" w:hAnsi="Candara"/>
          <w:b/>
          <w:sz w:val="28"/>
          <w:szCs w:val="28"/>
        </w:rPr>
        <w:lastRenderedPageBreak/>
        <w:t>I</w:t>
      </w:r>
      <w:r w:rsidR="00DB20B3" w:rsidRPr="0016235B">
        <w:rPr>
          <w:rFonts w:ascii="Candara" w:hAnsi="Candara"/>
          <w:b/>
          <w:sz w:val="28"/>
          <w:szCs w:val="28"/>
        </w:rPr>
        <w:t>NTRODUCTION</w:t>
      </w:r>
      <w:bookmarkEnd w:id="7"/>
    </w:p>
    <w:p w14:paraId="25B9EB22" w14:textId="77777777" w:rsidR="00ED33EF" w:rsidRPr="0016235B" w:rsidRDefault="00ED33EF" w:rsidP="005722F2">
      <w:pPr>
        <w:pStyle w:val="Heading2"/>
        <w:numPr>
          <w:ilvl w:val="1"/>
          <w:numId w:val="25"/>
        </w:numPr>
        <w:rPr>
          <w:rFonts w:ascii="Candara" w:hAnsi="Candara"/>
          <w:b/>
          <w:sz w:val="28"/>
          <w:szCs w:val="28"/>
        </w:rPr>
      </w:pPr>
      <w:bookmarkStart w:id="8" w:name="_Toc11494021"/>
      <w:r w:rsidRPr="0016235B">
        <w:rPr>
          <w:rFonts w:ascii="Candara" w:hAnsi="Candara"/>
          <w:b/>
          <w:sz w:val="28"/>
          <w:szCs w:val="28"/>
        </w:rPr>
        <w:t>Background</w:t>
      </w:r>
      <w:bookmarkEnd w:id="8"/>
    </w:p>
    <w:p w14:paraId="490CEA1D" w14:textId="77777777" w:rsidR="007B6268" w:rsidRPr="0016235B" w:rsidRDefault="007B6268" w:rsidP="00ED33EF">
      <w:pPr>
        <w:spacing w:after="120" w:line="276" w:lineRule="auto"/>
        <w:jc w:val="both"/>
        <w:rPr>
          <w:rFonts w:ascii="Candara" w:eastAsia="MS Mincho" w:hAnsi="Candara"/>
          <w:sz w:val="24"/>
          <w:szCs w:val="24"/>
        </w:rPr>
      </w:pPr>
    </w:p>
    <w:p w14:paraId="687E2D86" w14:textId="4BDBE116" w:rsidR="00ED33EF" w:rsidRPr="0016235B" w:rsidRDefault="00ED33EF" w:rsidP="00ED33EF">
      <w:pPr>
        <w:spacing w:after="120" w:line="276" w:lineRule="auto"/>
        <w:jc w:val="both"/>
        <w:rPr>
          <w:rFonts w:ascii="Candara" w:eastAsia="MS Mincho" w:hAnsi="Candara" w:cs="Arial"/>
          <w:sz w:val="24"/>
          <w:szCs w:val="24"/>
          <w:lang w:eastAsia="ja-JP"/>
        </w:rPr>
      </w:pPr>
      <w:r w:rsidRPr="0016235B">
        <w:rPr>
          <w:rFonts w:ascii="Candara" w:eastAsia="MS Mincho" w:hAnsi="Candara"/>
          <w:sz w:val="24"/>
          <w:szCs w:val="24"/>
        </w:rPr>
        <w:t xml:space="preserve">Uganda’s second National Development Plan </w:t>
      </w:r>
      <w:r w:rsidR="000E08CE" w:rsidRPr="0016235B">
        <w:rPr>
          <w:rFonts w:ascii="Candara" w:eastAsia="MS Mincho" w:hAnsi="Candara"/>
          <w:sz w:val="24"/>
          <w:szCs w:val="24"/>
        </w:rPr>
        <w:t xml:space="preserve">(NDP II) </w:t>
      </w:r>
      <w:r w:rsidRPr="0016235B">
        <w:rPr>
          <w:rFonts w:ascii="Candara" w:eastAsia="MS Mincho" w:hAnsi="Candara"/>
          <w:sz w:val="24"/>
          <w:szCs w:val="24"/>
        </w:rPr>
        <w:t>2015-2020 has been designed to</w:t>
      </w:r>
      <w:r w:rsidRPr="0016235B">
        <w:rPr>
          <w:rFonts w:ascii="Candara" w:hAnsi="Candara"/>
          <w:sz w:val="24"/>
          <w:szCs w:val="24"/>
        </w:rPr>
        <w:t xml:space="preserve"> strengthen the </w:t>
      </w:r>
      <w:r w:rsidR="002B2429" w:rsidRPr="0016235B">
        <w:rPr>
          <w:rFonts w:ascii="Candara" w:hAnsi="Candara"/>
          <w:sz w:val="24"/>
          <w:szCs w:val="24"/>
        </w:rPr>
        <w:t>country ‘</w:t>
      </w:r>
      <w:r w:rsidRPr="0016235B">
        <w:rPr>
          <w:rFonts w:ascii="Candara" w:hAnsi="Candara"/>
          <w:sz w:val="24"/>
          <w:szCs w:val="24"/>
        </w:rPr>
        <w:t xml:space="preserve">s competitiveness for sustainable wealth creation, employment and inclusive growth. </w:t>
      </w:r>
      <w:r w:rsidRPr="0016235B">
        <w:rPr>
          <w:rFonts w:ascii="Candara" w:eastAsia="MS Mincho" w:hAnsi="Candara" w:cs="Arial"/>
          <w:sz w:val="24"/>
          <w:szCs w:val="24"/>
          <w:lang w:eastAsia="ja-JP"/>
        </w:rPr>
        <w:t xml:space="preserve">NDP II highlights the importance of the health sector in Human Development in a bid to transform the Ugandan society from a peasant to modern and prosperous country within 30 years. The objectives of the Health Sector under the NDP include: </w:t>
      </w:r>
    </w:p>
    <w:p w14:paraId="4BA55408" w14:textId="77777777" w:rsidR="00ED33EF" w:rsidRPr="0016235B" w:rsidRDefault="00ED33EF" w:rsidP="005722F2">
      <w:pPr>
        <w:pStyle w:val="ListParagraph"/>
        <w:numPr>
          <w:ilvl w:val="0"/>
          <w:numId w:val="24"/>
        </w:numPr>
        <w:spacing w:after="120" w:line="276" w:lineRule="auto"/>
        <w:contextualSpacing w:val="0"/>
        <w:jc w:val="both"/>
        <w:rPr>
          <w:rFonts w:ascii="Candara" w:hAnsi="Candara"/>
        </w:rPr>
      </w:pPr>
      <w:r w:rsidRPr="0016235B">
        <w:rPr>
          <w:rFonts w:ascii="Candara" w:eastAsia="MS Mincho" w:hAnsi="Candara" w:cs="Arial"/>
          <w:lang w:eastAsia="ja-JP"/>
        </w:rPr>
        <w:t>To contribute to the production of a healthy human capital through provision of equitable, safe and sustainable health services,</w:t>
      </w:r>
    </w:p>
    <w:p w14:paraId="20959565" w14:textId="77777777" w:rsidR="00ED33EF" w:rsidRPr="0016235B" w:rsidRDefault="00ED33EF" w:rsidP="005722F2">
      <w:pPr>
        <w:pStyle w:val="ListParagraph"/>
        <w:numPr>
          <w:ilvl w:val="0"/>
          <w:numId w:val="24"/>
        </w:numPr>
        <w:spacing w:before="60" w:after="0" w:line="276" w:lineRule="auto"/>
        <w:contextualSpacing w:val="0"/>
        <w:jc w:val="both"/>
        <w:rPr>
          <w:rFonts w:ascii="Candara" w:eastAsia="MS Mincho" w:hAnsi="Candara" w:cs="Arial"/>
          <w:lang w:eastAsia="ja-JP"/>
        </w:rPr>
      </w:pPr>
      <w:r w:rsidRPr="0016235B">
        <w:rPr>
          <w:rFonts w:ascii="Candara" w:eastAsia="MS Mincho" w:hAnsi="Candara" w:cs="Arial"/>
          <w:lang w:eastAsia="ja-JP"/>
        </w:rPr>
        <w:t>To increase financial risk protection of households against impoverishment due to health expenditures.</w:t>
      </w:r>
    </w:p>
    <w:p w14:paraId="2590F90B" w14:textId="77777777" w:rsidR="00ED33EF" w:rsidRPr="0016235B" w:rsidRDefault="00ED33EF" w:rsidP="005722F2">
      <w:pPr>
        <w:pStyle w:val="ListParagraph"/>
        <w:numPr>
          <w:ilvl w:val="0"/>
          <w:numId w:val="24"/>
        </w:numPr>
        <w:spacing w:before="60" w:after="0" w:line="276" w:lineRule="auto"/>
        <w:contextualSpacing w:val="0"/>
        <w:jc w:val="both"/>
        <w:rPr>
          <w:rFonts w:ascii="Candara" w:eastAsia="MS Mincho" w:hAnsi="Candara" w:cs="Arial"/>
          <w:lang w:eastAsia="ja-JP"/>
        </w:rPr>
      </w:pPr>
      <w:r w:rsidRPr="0016235B">
        <w:rPr>
          <w:rFonts w:ascii="Candara" w:eastAsia="MS Mincho" w:hAnsi="Candara" w:cs="Arial"/>
          <w:lang w:eastAsia="ja-JP"/>
        </w:rPr>
        <w:t>To address the key determinants of health through strengthening inter-sector collaboration and partnerships.</w:t>
      </w:r>
    </w:p>
    <w:p w14:paraId="45AEDB0F" w14:textId="77777777" w:rsidR="00ED33EF" w:rsidRPr="0016235B" w:rsidRDefault="00ED33EF" w:rsidP="005722F2">
      <w:pPr>
        <w:pStyle w:val="ListParagraph"/>
        <w:numPr>
          <w:ilvl w:val="0"/>
          <w:numId w:val="24"/>
        </w:numPr>
        <w:spacing w:before="60" w:after="0" w:line="276" w:lineRule="auto"/>
        <w:contextualSpacing w:val="0"/>
        <w:jc w:val="both"/>
        <w:rPr>
          <w:rFonts w:ascii="Candara" w:eastAsia="MS Mincho" w:hAnsi="Candara" w:cs="Arial"/>
        </w:rPr>
      </w:pPr>
      <w:r w:rsidRPr="0016235B">
        <w:rPr>
          <w:rFonts w:ascii="Candara" w:eastAsia="MS Mincho" w:hAnsi="Candara" w:cs="Arial"/>
          <w:lang w:eastAsia="ja-JP"/>
        </w:rPr>
        <w:t xml:space="preserve">To enhance health sector competitiveness in the region, including establishing </w:t>
      </w:r>
      <w:proofErr w:type="spellStart"/>
      <w:r w:rsidRPr="0016235B">
        <w:rPr>
          <w:rFonts w:ascii="Candara" w:eastAsia="MS Mincho" w:hAnsi="Candara" w:cs="Arial"/>
          <w:lang w:eastAsia="ja-JP"/>
        </w:rPr>
        <w:t>Centres</w:t>
      </w:r>
      <w:proofErr w:type="spellEnd"/>
      <w:r w:rsidRPr="0016235B">
        <w:rPr>
          <w:rFonts w:ascii="Candara" w:eastAsia="MS Mincho" w:hAnsi="Candara" w:cs="Arial"/>
          <w:lang w:eastAsia="ja-JP"/>
        </w:rPr>
        <w:t xml:space="preserve"> of excellence in heart, cancer, renal care domains</w:t>
      </w:r>
      <w:r w:rsidRPr="0016235B">
        <w:rPr>
          <w:rFonts w:ascii="Candara" w:eastAsia="Calibri" w:hAnsi="Candara" w:cs="Arial"/>
        </w:rPr>
        <w:t xml:space="preserve">; </w:t>
      </w:r>
      <w:r w:rsidRPr="0016235B">
        <w:rPr>
          <w:rFonts w:ascii="Candara" w:eastAsia="MS Mincho" w:hAnsi="Candara" w:cs="Arial"/>
          <w:lang w:eastAsia="ja-JP"/>
        </w:rPr>
        <w:t>and diagnostic services.</w:t>
      </w:r>
    </w:p>
    <w:p w14:paraId="6016B3E7" w14:textId="77777777" w:rsidR="00ED33EF" w:rsidRPr="0016235B" w:rsidRDefault="00ED33EF" w:rsidP="00ED33EF">
      <w:pPr>
        <w:spacing w:after="120" w:line="276" w:lineRule="auto"/>
        <w:jc w:val="both"/>
        <w:rPr>
          <w:rFonts w:ascii="Candara" w:eastAsia="MS Mincho" w:hAnsi="Candara"/>
          <w:sz w:val="24"/>
          <w:szCs w:val="24"/>
        </w:rPr>
      </w:pPr>
    </w:p>
    <w:p w14:paraId="62007C82" w14:textId="52C5A71A" w:rsidR="00ED33EF" w:rsidRPr="0016235B" w:rsidRDefault="00ED33EF" w:rsidP="00ED33EF">
      <w:pPr>
        <w:spacing w:after="120" w:line="276" w:lineRule="auto"/>
        <w:jc w:val="both"/>
        <w:rPr>
          <w:rFonts w:ascii="Candara" w:eastAsia="MS Mincho" w:hAnsi="Candara"/>
          <w:sz w:val="24"/>
          <w:szCs w:val="24"/>
        </w:rPr>
      </w:pPr>
      <w:r w:rsidRPr="0016235B">
        <w:rPr>
          <w:rFonts w:ascii="Candara" w:eastAsia="MS Mincho" w:hAnsi="Candara"/>
          <w:sz w:val="24"/>
          <w:szCs w:val="24"/>
        </w:rPr>
        <w:t xml:space="preserve">The Health Sector Development Plan 2015/16 – 2019/20 is a key component of the NDP II and its goal is to accelerate movement towards Universal Health Coverage with essential health and related services needed for promotion of a healthy and productive life.  Thus, the Plan sets key objectives to be attained during the 5-year period. </w:t>
      </w:r>
    </w:p>
    <w:p w14:paraId="47B56E07" w14:textId="066FE56B" w:rsidR="00ED33EF" w:rsidRPr="0016235B" w:rsidRDefault="00ED33EF" w:rsidP="00ED33EF">
      <w:pPr>
        <w:spacing w:before="100" w:beforeAutospacing="1" w:after="240" w:line="276" w:lineRule="auto"/>
        <w:jc w:val="both"/>
        <w:rPr>
          <w:rFonts w:ascii="Candara" w:eastAsia="MS Mincho" w:hAnsi="Candara"/>
          <w:sz w:val="24"/>
          <w:szCs w:val="24"/>
        </w:rPr>
      </w:pPr>
      <w:r w:rsidRPr="0016235B">
        <w:rPr>
          <w:rFonts w:ascii="Candara" w:eastAsia="MS Mincho" w:hAnsi="Candara"/>
          <w:sz w:val="24"/>
          <w:szCs w:val="24"/>
        </w:rPr>
        <w:t>The major h</w:t>
      </w:r>
      <w:r w:rsidR="000E08CE" w:rsidRPr="0016235B">
        <w:rPr>
          <w:rFonts w:ascii="Candara" w:eastAsia="MS Mincho" w:hAnsi="Candara"/>
          <w:sz w:val="24"/>
          <w:szCs w:val="24"/>
        </w:rPr>
        <w:t>ealth problems of Uganda remain</w:t>
      </w:r>
      <w:r w:rsidRPr="0016235B">
        <w:rPr>
          <w:rFonts w:ascii="Candara" w:eastAsia="MS Mincho" w:hAnsi="Candara"/>
          <w:sz w:val="24"/>
          <w:szCs w:val="24"/>
        </w:rPr>
        <w:t xml:space="preserve"> largely preventable communicable diseases,</w:t>
      </w:r>
      <w:r w:rsidRPr="0016235B">
        <w:rPr>
          <w:rFonts w:ascii="Candara" w:hAnsi="Candara"/>
          <w:sz w:val="24"/>
          <w:szCs w:val="24"/>
        </w:rPr>
        <w:t xml:space="preserve"> </w:t>
      </w:r>
      <w:r w:rsidRPr="0016235B">
        <w:rPr>
          <w:rFonts w:ascii="Candara" w:eastAsia="MS Mincho" w:hAnsi="Candara"/>
          <w:sz w:val="24"/>
          <w:szCs w:val="24"/>
        </w:rPr>
        <w:t xml:space="preserve">which account for over 50% of morbidity and mortality (WHO, 2018). </w:t>
      </w:r>
      <w:r w:rsidR="009D1EB0" w:rsidRPr="0016235B">
        <w:rPr>
          <w:rFonts w:ascii="Candara" w:eastAsia="MS Mincho" w:hAnsi="Candara"/>
          <w:sz w:val="24"/>
          <w:szCs w:val="24"/>
        </w:rPr>
        <w:t xml:space="preserve"> </w:t>
      </w:r>
      <w:r w:rsidRPr="0016235B">
        <w:rPr>
          <w:rFonts w:ascii="Candara" w:eastAsia="MS Mincho" w:hAnsi="Candara"/>
          <w:sz w:val="24"/>
          <w:szCs w:val="24"/>
        </w:rPr>
        <w:t xml:space="preserve">Malaria, HIV/AIDS, TB, and respiratory, diarrhea, epidemic-prone and vaccine-preventable diseases are the leading causes of illness and death. There is also a growing burden of non-communicable diseases (NCDs) including mental health disorders. Maternal and perinatal conditions also contribute to the high mortality. Neglected Tropical Diseases (NTDs) remain a big problem in the country affecting mainly rural poor communities. Furthermore, there are wide disparities in health status across the country, closely linked to underlying socio-economic, gender and geographical disparities. </w:t>
      </w:r>
    </w:p>
    <w:p w14:paraId="164AE47A" w14:textId="455063D9" w:rsidR="00ED33EF" w:rsidRPr="0016235B" w:rsidRDefault="00ED33EF" w:rsidP="00ED33EF">
      <w:pPr>
        <w:spacing w:before="100" w:beforeAutospacing="1" w:after="240" w:line="276" w:lineRule="auto"/>
        <w:jc w:val="both"/>
        <w:rPr>
          <w:rFonts w:ascii="Candara" w:eastAsia="MS Mincho" w:hAnsi="Candara"/>
          <w:sz w:val="24"/>
          <w:szCs w:val="24"/>
        </w:rPr>
      </w:pPr>
      <w:r w:rsidRPr="0016235B">
        <w:rPr>
          <w:rFonts w:ascii="Candara" w:eastAsia="MS Mincho" w:hAnsi="Candara"/>
          <w:sz w:val="24"/>
          <w:szCs w:val="24"/>
        </w:rPr>
        <w:t>The roles and contributions of all health care stakeholders; the government, non-government and private stakeholders including indigenous (traditional) and complimentary health practitioners is critical to achieve both the NDP</w:t>
      </w:r>
      <w:r w:rsidR="009D1EB0" w:rsidRPr="0016235B">
        <w:rPr>
          <w:rFonts w:ascii="Candara" w:eastAsia="MS Mincho" w:hAnsi="Candara"/>
          <w:sz w:val="24"/>
          <w:szCs w:val="24"/>
        </w:rPr>
        <w:t xml:space="preserve"> </w:t>
      </w:r>
      <w:r w:rsidRPr="0016235B">
        <w:rPr>
          <w:rFonts w:ascii="Candara" w:eastAsia="MS Mincho" w:hAnsi="Candara"/>
          <w:sz w:val="24"/>
          <w:szCs w:val="24"/>
        </w:rPr>
        <w:t xml:space="preserve">II and the Health Sector Development Plan 2015/16 – 2019/20 (Strategic Plan for Statistics, 2015-2020).  </w:t>
      </w:r>
      <w:r w:rsidR="00B8607B" w:rsidRPr="0016235B">
        <w:rPr>
          <w:rFonts w:ascii="Candara" w:eastAsia="MS Mincho" w:hAnsi="Candara"/>
          <w:sz w:val="24"/>
          <w:szCs w:val="24"/>
        </w:rPr>
        <w:t>To</w:t>
      </w:r>
      <w:r w:rsidRPr="0016235B">
        <w:rPr>
          <w:rFonts w:ascii="Candara" w:eastAsia="MS Mincho" w:hAnsi="Candara"/>
          <w:sz w:val="24"/>
          <w:szCs w:val="24"/>
        </w:rPr>
        <w:t xml:space="preserve"> harness the contributions of each stakeholder to sustainable delivery of health services, there is need for </w:t>
      </w:r>
      <w:r w:rsidR="00EF37B7" w:rsidRPr="0016235B">
        <w:rPr>
          <w:rFonts w:ascii="Candara" w:eastAsia="MS Mincho" w:hAnsi="Candara"/>
          <w:sz w:val="24"/>
          <w:szCs w:val="24"/>
        </w:rPr>
        <w:t>evidence-based</w:t>
      </w:r>
      <w:r w:rsidRPr="0016235B">
        <w:rPr>
          <w:rFonts w:ascii="Candara" w:eastAsia="MS Mincho" w:hAnsi="Candara"/>
          <w:sz w:val="24"/>
          <w:szCs w:val="24"/>
        </w:rPr>
        <w:t xml:space="preserve"> planning, policy formulation and monitoring.  This requires generation and making available quality statistical information that inform the development plan.</w:t>
      </w:r>
    </w:p>
    <w:p w14:paraId="522BDF4E" w14:textId="17CD6820" w:rsidR="00ED33EF" w:rsidRPr="0016235B" w:rsidRDefault="009D1EB0" w:rsidP="00ED33EF">
      <w:pPr>
        <w:spacing w:before="100" w:beforeAutospacing="1" w:after="240" w:line="276" w:lineRule="auto"/>
        <w:jc w:val="both"/>
        <w:rPr>
          <w:rFonts w:ascii="Candara" w:eastAsia="MS Mincho" w:hAnsi="Candara"/>
          <w:sz w:val="24"/>
          <w:szCs w:val="24"/>
        </w:rPr>
      </w:pPr>
      <w:r w:rsidRPr="0016235B">
        <w:rPr>
          <w:rFonts w:ascii="Candara" w:eastAsia="MS Mincho" w:hAnsi="Candara"/>
          <w:sz w:val="24"/>
          <w:szCs w:val="24"/>
        </w:rPr>
        <w:lastRenderedPageBreak/>
        <w:t>Monitoring and evaluation is</w:t>
      </w:r>
      <w:r w:rsidR="00ED33EF" w:rsidRPr="0016235B">
        <w:rPr>
          <w:rFonts w:ascii="Candara" w:eastAsia="MS Mincho" w:hAnsi="Candara"/>
          <w:sz w:val="24"/>
          <w:szCs w:val="24"/>
        </w:rPr>
        <w:t xml:space="preserve"> an </w:t>
      </w:r>
      <w:r w:rsidRPr="0016235B">
        <w:rPr>
          <w:rFonts w:ascii="Candara" w:eastAsia="MS Mincho" w:hAnsi="Candara"/>
          <w:sz w:val="24"/>
          <w:szCs w:val="24"/>
        </w:rPr>
        <w:t xml:space="preserve">integral and </w:t>
      </w:r>
      <w:r w:rsidR="00ED33EF" w:rsidRPr="0016235B">
        <w:rPr>
          <w:rFonts w:ascii="Candara" w:eastAsia="MS Mincho" w:hAnsi="Candara"/>
          <w:sz w:val="24"/>
          <w:szCs w:val="24"/>
        </w:rPr>
        <w:t xml:space="preserve">invaluable component of the Health Sector Development Plan (HSDP). It is technically impossible to obtain all health and health related data exclusively through </w:t>
      </w:r>
      <w:r w:rsidR="00AD2C76" w:rsidRPr="0016235B">
        <w:rPr>
          <w:rFonts w:ascii="Candara" w:eastAsia="MS Mincho" w:hAnsi="Candara"/>
          <w:sz w:val="24"/>
          <w:szCs w:val="24"/>
        </w:rPr>
        <w:t>the Health Management and Information System (</w:t>
      </w:r>
      <w:r w:rsidR="00ED33EF" w:rsidRPr="0016235B">
        <w:rPr>
          <w:rFonts w:ascii="Candara" w:eastAsia="MS Mincho" w:hAnsi="Candara"/>
          <w:sz w:val="24"/>
          <w:szCs w:val="24"/>
        </w:rPr>
        <w:t>HMIS</w:t>
      </w:r>
      <w:r w:rsidR="00AD2C76" w:rsidRPr="0016235B">
        <w:rPr>
          <w:rFonts w:ascii="Candara" w:eastAsia="MS Mincho" w:hAnsi="Candara"/>
          <w:sz w:val="24"/>
          <w:szCs w:val="24"/>
        </w:rPr>
        <w:t>)</w:t>
      </w:r>
      <w:r w:rsidR="00ED33EF" w:rsidRPr="0016235B">
        <w:rPr>
          <w:rFonts w:ascii="Candara" w:eastAsia="MS Mincho" w:hAnsi="Candara"/>
          <w:sz w:val="24"/>
          <w:szCs w:val="24"/>
        </w:rPr>
        <w:t xml:space="preserve">, </w:t>
      </w:r>
      <w:r w:rsidR="00AD2C76" w:rsidRPr="0016235B">
        <w:rPr>
          <w:rFonts w:ascii="Candara" w:eastAsia="MS Mincho" w:hAnsi="Candara"/>
          <w:sz w:val="24"/>
          <w:szCs w:val="24"/>
        </w:rPr>
        <w:t xml:space="preserve">thus </w:t>
      </w:r>
      <w:r w:rsidR="00ED33EF" w:rsidRPr="0016235B">
        <w:rPr>
          <w:rFonts w:ascii="Candara" w:eastAsia="MS Mincho" w:hAnsi="Candara"/>
          <w:sz w:val="24"/>
          <w:szCs w:val="24"/>
        </w:rPr>
        <w:t xml:space="preserve">conducting regular surveys and assessments is crucial to capture selected set of data and triangulate various sources </w:t>
      </w:r>
      <w:r w:rsidR="008137FF" w:rsidRPr="0016235B">
        <w:rPr>
          <w:rFonts w:ascii="Candara" w:eastAsia="MS Mincho" w:hAnsi="Candara"/>
          <w:sz w:val="24"/>
          <w:szCs w:val="24"/>
        </w:rPr>
        <w:t>to</w:t>
      </w:r>
      <w:r w:rsidR="00ED33EF" w:rsidRPr="0016235B">
        <w:rPr>
          <w:rFonts w:ascii="Candara" w:eastAsia="MS Mincho" w:hAnsi="Candara"/>
          <w:sz w:val="24"/>
          <w:szCs w:val="24"/>
        </w:rPr>
        <w:t xml:space="preserve"> improve the accuracy of health interventions. The state of health in a country can be measured through indicators describing long-term program achievements and effects on the populations. Health Facility Assessments (HFA) or Health Facility Surveys (HFS) provide objective information of the preparedness of health facilities to provide the services required by the population. Thus, selected indicators need to be measured to obtain data on the facilities, supplies, and services for informed decision-making</w:t>
      </w:r>
    </w:p>
    <w:p w14:paraId="62C7EF69" w14:textId="3E204D8C" w:rsidR="00ED33EF" w:rsidRPr="0016235B" w:rsidRDefault="00ED33EF" w:rsidP="00ED33EF">
      <w:pPr>
        <w:spacing w:after="0" w:line="276" w:lineRule="auto"/>
        <w:jc w:val="both"/>
        <w:rPr>
          <w:rFonts w:ascii="Candara" w:eastAsia="MS Mincho" w:hAnsi="Candara"/>
          <w:sz w:val="24"/>
          <w:szCs w:val="24"/>
        </w:rPr>
      </w:pPr>
      <w:r w:rsidRPr="0016235B">
        <w:rPr>
          <w:rFonts w:ascii="Candara" w:eastAsia="MS Mincho" w:hAnsi="Candara"/>
          <w:sz w:val="24"/>
          <w:szCs w:val="24"/>
        </w:rPr>
        <w:t>Uganda has so far conducted four major facility assessments using the Service Provision Assessment (SPA) tool and the Service Availability and Readiness Assessments (SARA) tool. The facility assessment using the SPA tool was conducted in 2007 by M</w:t>
      </w:r>
      <w:r w:rsidR="002B2429" w:rsidRPr="0016235B">
        <w:rPr>
          <w:rFonts w:ascii="Candara" w:eastAsia="MS Mincho" w:hAnsi="Candara"/>
          <w:sz w:val="24"/>
          <w:szCs w:val="24"/>
        </w:rPr>
        <w:t>O</w:t>
      </w:r>
      <w:r w:rsidRPr="0016235B">
        <w:rPr>
          <w:rFonts w:ascii="Candara" w:eastAsia="MS Mincho" w:hAnsi="Candara"/>
          <w:sz w:val="24"/>
          <w:szCs w:val="24"/>
        </w:rPr>
        <w:t>H in collaboration with the Uganda Bureau of Statistics, with technical assistance from Macro International Inc. This was conducted in 491 Health facilities and findings were published and disseminated widely.</w:t>
      </w:r>
    </w:p>
    <w:p w14:paraId="2B38848F" w14:textId="77777777" w:rsidR="00ED33EF" w:rsidRPr="0016235B" w:rsidRDefault="00ED33EF" w:rsidP="00ED33EF">
      <w:pPr>
        <w:spacing w:after="0" w:line="276" w:lineRule="auto"/>
        <w:jc w:val="both"/>
        <w:rPr>
          <w:rFonts w:ascii="Candara" w:eastAsia="MS Mincho" w:hAnsi="Candara"/>
          <w:sz w:val="24"/>
          <w:szCs w:val="24"/>
        </w:rPr>
      </w:pPr>
    </w:p>
    <w:p w14:paraId="32422DA1" w14:textId="5BBEBD8F" w:rsidR="00ED33EF" w:rsidRPr="0016235B" w:rsidRDefault="00ED33EF" w:rsidP="00ED33EF">
      <w:pPr>
        <w:autoSpaceDE w:val="0"/>
        <w:autoSpaceDN w:val="0"/>
        <w:adjustRightInd w:val="0"/>
        <w:spacing w:after="0" w:line="276" w:lineRule="auto"/>
        <w:jc w:val="both"/>
        <w:rPr>
          <w:rFonts w:ascii="Candara" w:eastAsia="MS Mincho" w:hAnsi="Candara"/>
          <w:sz w:val="24"/>
          <w:szCs w:val="24"/>
        </w:rPr>
      </w:pPr>
      <w:r w:rsidRPr="0016235B">
        <w:rPr>
          <w:rFonts w:ascii="Candara" w:eastAsia="MS Mincho" w:hAnsi="Candara"/>
          <w:sz w:val="24"/>
          <w:szCs w:val="24"/>
        </w:rPr>
        <w:t>In 2012 the Ministry of Health in collaboration with World Health Organization (WHO) conducted facility assessment using the SARA tools in 95 health facilities from five districts across the 5 geographical zones in the country, including a data quality assessment. The second SARA was conducted in 2013</w:t>
      </w:r>
      <w:r w:rsidR="002C2378" w:rsidRPr="0016235B">
        <w:rPr>
          <w:rFonts w:ascii="Candara" w:eastAsia="MS Mincho" w:hAnsi="Candara"/>
          <w:sz w:val="24"/>
          <w:szCs w:val="24"/>
        </w:rPr>
        <w:t xml:space="preserve"> </w:t>
      </w:r>
      <w:r w:rsidRPr="0016235B">
        <w:rPr>
          <w:rFonts w:ascii="Candara" w:eastAsia="MS Mincho" w:hAnsi="Candara"/>
          <w:sz w:val="24"/>
          <w:szCs w:val="24"/>
        </w:rPr>
        <w:t xml:space="preserve">in </w:t>
      </w:r>
      <w:r w:rsidR="002C2378" w:rsidRPr="0016235B">
        <w:rPr>
          <w:rFonts w:ascii="Candara" w:eastAsia="MS Mincho" w:hAnsi="Candara"/>
          <w:sz w:val="24"/>
          <w:szCs w:val="24"/>
        </w:rPr>
        <w:t xml:space="preserve">a sample of </w:t>
      </w:r>
      <w:r w:rsidRPr="0016235B">
        <w:rPr>
          <w:rFonts w:ascii="Candara" w:eastAsia="MS Mincho" w:hAnsi="Candara"/>
          <w:sz w:val="24"/>
          <w:szCs w:val="24"/>
        </w:rPr>
        <w:t xml:space="preserve">209 health facilities </w:t>
      </w:r>
      <w:r w:rsidR="002C2378" w:rsidRPr="0016235B">
        <w:rPr>
          <w:rFonts w:ascii="Candara" w:eastAsia="MS Mincho" w:hAnsi="Candara"/>
          <w:sz w:val="24"/>
          <w:szCs w:val="24"/>
        </w:rPr>
        <w:t xml:space="preserve">in 10 districts, </w:t>
      </w:r>
      <w:r w:rsidRPr="0016235B">
        <w:rPr>
          <w:rFonts w:ascii="Candara" w:eastAsia="MS Mincho" w:hAnsi="Candara"/>
          <w:sz w:val="24"/>
          <w:szCs w:val="24"/>
        </w:rPr>
        <w:t>in</w:t>
      </w:r>
      <w:r w:rsidR="002C2378" w:rsidRPr="0016235B">
        <w:rPr>
          <w:rFonts w:ascii="Candara" w:eastAsia="MS Mincho" w:hAnsi="Candara"/>
          <w:sz w:val="24"/>
          <w:szCs w:val="24"/>
        </w:rPr>
        <w:t>cluding all regional referral hospitals</w:t>
      </w:r>
      <w:r w:rsidRPr="0016235B">
        <w:rPr>
          <w:rFonts w:ascii="Candara" w:eastAsia="MS Mincho" w:hAnsi="Candara"/>
          <w:sz w:val="24"/>
          <w:szCs w:val="24"/>
        </w:rPr>
        <w:t xml:space="preserve">. The findings of the SARA 2013 were used to inform the Mid-Term Review of the Health Sector Strategic and Investment Plan (HSSIP) 2010/11 – 2014/15. </w:t>
      </w:r>
    </w:p>
    <w:p w14:paraId="2FDD3E80" w14:textId="77777777" w:rsidR="00ED33EF" w:rsidRPr="0016235B" w:rsidRDefault="00ED33EF" w:rsidP="00ED33EF">
      <w:pPr>
        <w:autoSpaceDE w:val="0"/>
        <w:autoSpaceDN w:val="0"/>
        <w:adjustRightInd w:val="0"/>
        <w:spacing w:after="0" w:line="276" w:lineRule="auto"/>
        <w:jc w:val="both"/>
        <w:rPr>
          <w:rFonts w:ascii="Candara" w:eastAsia="MS Mincho" w:hAnsi="Candara"/>
          <w:sz w:val="24"/>
          <w:szCs w:val="24"/>
        </w:rPr>
      </w:pPr>
    </w:p>
    <w:p w14:paraId="55B37324" w14:textId="3B6A2553" w:rsidR="00ED33EF" w:rsidRPr="0016235B" w:rsidRDefault="00ED33EF" w:rsidP="00ED33EF">
      <w:pPr>
        <w:spacing w:before="2" w:after="2" w:line="276" w:lineRule="auto"/>
        <w:jc w:val="both"/>
        <w:rPr>
          <w:rFonts w:ascii="Candara" w:eastAsia="MS Mincho" w:hAnsi="Candara"/>
          <w:sz w:val="24"/>
          <w:szCs w:val="24"/>
        </w:rPr>
      </w:pPr>
      <w:r w:rsidRPr="0016235B">
        <w:rPr>
          <w:rFonts w:ascii="Candara" w:eastAsia="MS Mincho" w:hAnsi="Candara"/>
          <w:sz w:val="24"/>
          <w:szCs w:val="24"/>
        </w:rPr>
        <w:t xml:space="preserve">The Hospital and HC IV </w:t>
      </w:r>
      <w:r w:rsidR="00DE54C4" w:rsidRPr="0016235B">
        <w:rPr>
          <w:rFonts w:ascii="Candara" w:eastAsia="MS Mincho" w:hAnsi="Candara"/>
          <w:sz w:val="24"/>
          <w:szCs w:val="24"/>
        </w:rPr>
        <w:t>C</w:t>
      </w:r>
      <w:r w:rsidRPr="0016235B">
        <w:rPr>
          <w:rFonts w:ascii="Candara" w:eastAsia="MS Mincho" w:hAnsi="Candara"/>
          <w:sz w:val="24"/>
          <w:szCs w:val="24"/>
        </w:rPr>
        <w:t xml:space="preserve">ensus was conducted in 2014 by the Ministry of Health in close collaboration with Makerere University College of Health Sciences and the World Health Organization. The census covered all (152) hospitals and (103) HC IVs to assess the distribution, functionality and performance of hospitals and HC IVs in Uganda, as an evidence base for investing in the improvement of services in these facilities. The final report </w:t>
      </w:r>
      <w:r w:rsidR="00DE54C4" w:rsidRPr="0016235B">
        <w:rPr>
          <w:rFonts w:ascii="Candara" w:eastAsia="MS Mincho" w:hAnsi="Candara"/>
          <w:sz w:val="24"/>
          <w:szCs w:val="24"/>
        </w:rPr>
        <w:t>was</w:t>
      </w:r>
      <w:r w:rsidRPr="0016235B">
        <w:rPr>
          <w:rFonts w:ascii="Candara" w:eastAsia="MS Mincho" w:hAnsi="Candara"/>
          <w:sz w:val="24"/>
          <w:szCs w:val="24"/>
        </w:rPr>
        <w:t xml:space="preserve"> published and disseminated at the National Joint Review Mission in September 2016. </w:t>
      </w:r>
    </w:p>
    <w:p w14:paraId="60550039" w14:textId="77777777" w:rsidR="00ED33EF" w:rsidRPr="0016235B" w:rsidRDefault="00ED33EF" w:rsidP="00ED33EF">
      <w:pPr>
        <w:spacing w:after="120" w:line="276" w:lineRule="auto"/>
        <w:jc w:val="both"/>
        <w:rPr>
          <w:rFonts w:ascii="Candara" w:eastAsia="MS Mincho" w:hAnsi="Candara"/>
          <w:sz w:val="24"/>
          <w:szCs w:val="24"/>
        </w:rPr>
      </w:pPr>
    </w:p>
    <w:p w14:paraId="118B7E61" w14:textId="07637378" w:rsidR="00951808" w:rsidRPr="0016235B" w:rsidRDefault="008171B2" w:rsidP="005722F2">
      <w:pPr>
        <w:pStyle w:val="Heading2"/>
        <w:numPr>
          <w:ilvl w:val="1"/>
          <w:numId w:val="25"/>
        </w:numPr>
        <w:rPr>
          <w:rFonts w:ascii="Candara" w:hAnsi="Candara"/>
          <w:b/>
          <w:sz w:val="28"/>
          <w:szCs w:val="28"/>
        </w:rPr>
      </w:pPr>
      <w:bookmarkStart w:id="9" w:name="_Toc11494022"/>
      <w:r w:rsidRPr="0016235B">
        <w:rPr>
          <w:rFonts w:ascii="Candara" w:hAnsi="Candara"/>
          <w:b/>
          <w:sz w:val="28"/>
          <w:szCs w:val="28"/>
        </w:rPr>
        <w:t>Objectives of SARA 2018</w:t>
      </w:r>
      <w:bookmarkEnd w:id="9"/>
    </w:p>
    <w:p w14:paraId="0F7E2B76" w14:textId="77777777" w:rsidR="007B6268" w:rsidRPr="0016235B" w:rsidRDefault="007B6268" w:rsidP="00ED33EF">
      <w:pPr>
        <w:spacing w:line="276" w:lineRule="auto"/>
        <w:jc w:val="both"/>
        <w:rPr>
          <w:rFonts w:ascii="Candara" w:eastAsia="MS Mincho" w:hAnsi="Candara"/>
          <w:sz w:val="24"/>
          <w:szCs w:val="24"/>
        </w:rPr>
      </w:pPr>
    </w:p>
    <w:p w14:paraId="5ED49594" w14:textId="5AEBC9ED" w:rsidR="001C6B81" w:rsidRPr="0016235B" w:rsidRDefault="0028072E" w:rsidP="00ED33EF">
      <w:pPr>
        <w:spacing w:line="276" w:lineRule="auto"/>
        <w:jc w:val="both"/>
        <w:rPr>
          <w:rFonts w:ascii="Candara" w:eastAsia="MS Mincho" w:hAnsi="Candara"/>
          <w:sz w:val="24"/>
          <w:szCs w:val="24"/>
        </w:rPr>
      </w:pPr>
      <w:r w:rsidRPr="0016235B">
        <w:rPr>
          <w:rFonts w:ascii="Candara" w:eastAsia="MS Mincho" w:hAnsi="Candara"/>
          <w:sz w:val="24"/>
          <w:szCs w:val="24"/>
        </w:rPr>
        <w:t xml:space="preserve">The service availability and readiness assessment (SARA) was designed as a systematic survey to assess service delivery in health care facilities in Uganda. The aim was to generate reliable information on </w:t>
      </w:r>
      <w:r w:rsidR="007E66C9" w:rsidRPr="0016235B">
        <w:rPr>
          <w:rFonts w:ascii="Candara" w:eastAsia="MS Mincho" w:hAnsi="Candara"/>
          <w:sz w:val="24"/>
          <w:szCs w:val="24"/>
        </w:rPr>
        <w:t xml:space="preserve">health </w:t>
      </w:r>
      <w:r w:rsidRPr="0016235B">
        <w:rPr>
          <w:rFonts w:ascii="Candara" w:eastAsia="MS Mincho" w:hAnsi="Candara"/>
          <w:sz w:val="24"/>
          <w:szCs w:val="24"/>
        </w:rPr>
        <w:t>service availability</w:t>
      </w:r>
      <w:r w:rsidR="00714261" w:rsidRPr="0016235B">
        <w:rPr>
          <w:rFonts w:ascii="Candara" w:eastAsia="MS Mincho" w:hAnsi="Candara"/>
          <w:sz w:val="24"/>
          <w:szCs w:val="24"/>
        </w:rPr>
        <w:t xml:space="preserve"> and readiness to support efforts to improve s</w:t>
      </w:r>
      <w:r w:rsidR="00792967" w:rsidRPr="0016235B">
        <w:rPr>
          <w:rFonts w:ascii="Candara" w:eastAsia="MS Mincho" w:hAnsi="Candara"/>
          <w:sz w:val="24"/>
          <w:szCs w:val="24"/>
        </w:rPr>
        <w:t xml:space="preserve">ervice delivery in the country. </w:t>
      </w:r>
      <w:r w:rsidR="007E66C9" w:rsidRPr="0016235B">
        <w:rPr>
          <w:rFonts w:ascii="Candara" w:eastAsia="MS Mincho" w:hAnsi="Candara"/>
          <w:sz w:val="24"/>
          <w:szCs w:val="24"/>
        </w:rPr>
        <w:t>The</w:t>
      </w:r>
      <w:r w:rsidR="00792967" w:rsidRPr="0016235B">
        <w:rPr>
          <w:rFonts w:ascii="Candara" w:eastAsia="MS Mincho" w:hAnsi="Candara"/>
          <w:sz w:val="24"/>
          <w:szCs w:val="24"/>
        </w:rPr>
        <w:t xml:space="preserve"> focus of the SARA</w:t>
      </w:r>
      <w:r w:rsidR="007E66C9" w:rsidRPr="0016235B">
        <w:rPr>
          <w:rFonts w:ascii="Candara" w:eastAsia="MS Mincho" w:hAnsi="Candara"/>
          <w:sz w:val="24"/>
          <w:szCs w:val="24"/>
        </w:rPr>
        <w:t xml:space="preserve"> survey was</w:t>
      </w:r>
      <w:r w:rsidR="007312E8" w:rsidRPr="0016235B">
        <w:rPr>
          <w:rFonts w:ascii="Candara" w:eastAsia="MS Mincho" w:hAnsi="Candara"/>
          <w:sz w:val="24"/>
          <w:szCs w:val="24"/>
        </w:rPr>
        <w:t xml:space="preserve"> on the assessment of availability and ability of health care facilities to provide essential </w:t>
      </w:r>
      <w:r w:rsidR="007312E8" w:rsidRPr="0016235B">
        <w:rPr>
          <w:rFonts w:ascii="Candara" w:eastAsia="MS Mincho" w:hAnsi="Candara"/>
          <w:sz w:val="24"/>
          <w:szCs w:val="24"/>
        </w:rPr>
        <w:lastRenderedPageBreak/>
        <w:t>services including fami</w:t>
      </w:r>
      <w:r w:rsidR="007E66C9" w:rsidRPr="0016235B">
        <w:rPr>
          <w:rFonts w:ascii="Candara" w:eastAsia="MS Mincho" w:hAnsi="Candara"/>
          <w:sz w:val="24"/>
          <w:szCs w:val="24"/>
        </w:rPr>
        <w:t xml:space="preserve">ly planning, child health services, basic and comprehensive obstetric care, HIV/AIDS, tuberculosis, malaria and noncommunicable diseases. </w:t>
      </w:r>
    </w:p>
    <w:p w14:paraId="5CD3BC68" w14:textId="77777777" w:rsidR="00167C3D" w:rsidRPr="0016235B" w:rsidRDefault="00167C3D" w:rsidP="001C6B81">
      <w:pPr>
        <w:spacing w:line="276" w:lineRule="auto"/>
        <w:jc w:val="both"/>
        <w:rPr>
          <w:rFonts w:ascii="Candara" w:hAnsi="Candara"/>
          <w:b/>
          <w:sz w:val="28"/>
          <w:szCs w:val="28"/>
        </w:rPr>
      </w:pPr>
      <w:r w:rsidRPr="0016235B">
        <w:rPr>
          <w:rFonts w:ascii="Candara" w:hAnsi="Candara"/>
          <w:b/>
          <w:sz w:val="28"/>
          <w:szCs w:val="28"/>
        </w:rPr>
        <w:t>METHODOLOGY</w:t>
      </w:r>
    </w:p>
    <w:p w14:paraId="73EAF328" w14:textId="77777777" w:rsidR="00167C3D" w:rsidRPr="0016235B" w:rsidRDefault="00167C3D" w:rsidP="00167C3D">
      <w:pPr>
        <w:rPr>
          <w:rFonts w:ascii="Candara" w:hAnsi="Candara" w:cs="Times New Roman"/>
          <w:b/>
          <w:sz w:val="24"/>
          <w:szCs w:val="24"/>
        </w:rPr>
      </w:pPr>
    </w:p>
    <w:p w14:paraId="41EFD5FF" w14:textId="77777777" w:rsidR="00167C3D" w:rsidRPr="0016235B" w:rsidRDefault="00167C3D" w:rsidP="005722F2">
      <w:pPr>
        <w:pStyle w:val="Heading2"/>
        <w:numPr>
          <w:ilvl w:val="1"/>
          <w:numId w:val="25"/>
        </w:numPr>
        <w:rPr>
          <w:rFonts w:ascii="Candara" w:hAnsi="Candara"/>
          <w:b/>
          <w:sz w:val="28"/>
          <w:szCs w:val="28"/>
        </w:rPr>
      </w:pPr>
      <w:bookmarkStart w:id="10" w:name="_Toc11494023"/>
      <w:r w:rsidRPr="0016235B">
        <w:rPr>
          <w:rFonts w:ascii="Candara" w:hAnsi="Candara"/>
          <w:b/>
          <w:sz w:val="28"/>
          <w:szCs w:val="28"/>
        </w:rPr>
        <w:t>Sampling</w:t>
      </w:r>
      <w:bookmarkEnd w:id="10"/>
    </w:p>
    <w:p w14:paraId="765607EF" w14:textId="77777777" w:rsidR="007B6268" w:rsidRPr="0016235B" w:rsidRDefault="007B6268" w:rsidP="00167C3D">
      <w:pPr>
        <w:jc w:val="both"/>
        <w:rPr>
          <w:rFonts w:ascii="Candara" w:eastAsia="MS Mincho" w:hAnsi="Candara"/>
          <w:sz w:val="24"/>
          <w:szCs w:val="24"/>
        </w:rPr>
      </w:pPr>
    </w:p>
    <w:p w14:paraId="1CB78FC9" w14:textId="50747404" w:rsidR="00375C7D" w:rsidRPr="0016235B" w:rsidRDefault="006B49BF" w:rsidP="00167C3D">
      <w:pPr>
        <w:jc w:val="both"/>
        <w:rPr>
          <w:rFonts w:ascii="Candara" w:eastAsia="MS Mincho" w:hAnsi="Candara"/>
          <w:sz w:val="24"/>
          <w:szCs w:val="24"/>
        </w:rPr>
      </w:pPr>
      <w:r w:rsidRPr="0016235B">
        <w:rPr>
          <w:rFonts w:ascii="Candara" w:eastAsia="MS Mincho" w:hAnsi="Candara"/>
          <w:sz w:val="24"/>
          <w:szCs w:val="24"/>
        </w:rPr>
        <w:t>The survey was done in 215 facilities across Uganda</w:t>
      </w:r>
      <w:r w:rsidR="00DA0AAE" w:rsidRPr="0016235B">
        <w:rPr>
          <w:rFonts w:ascii="Candara" w:eastAsia="MS Mincho" w:hAnsi="Candara"/>
          <w:sz w:val="24"/>
          <w:szCs w:val="24"/>
        </w:rPr>
        <w:t xml:space="preserve"> (Table 1)</w:t>
      </w:r>
      <w:r w:rsidRPr="0016235B">
        <w:rPr>
          <w:rFonts w:ascii="Candara" w:eastAsia="MS Mincho" w:hAnsi="Candara"/>
          <w:sz w:val="24"/>
          <w:szCs w:val="24"/>
        </w:rPr>
        <w:t xml:space="preserve">. </w:t>
      </w:r>
      <w:r w:rsidR="00803EE8" w:rsidRPr="0016235B">
        <w:rPr>
          <w:rFonts w:ascii="Candara" w:eastAsia="MS Mincho" w:hAnsi="Candara"/>
          <w:sz w:val="24"/>
          <w:szCs w:val="24"/>
        </w:rPr>
        <w:t xml:space="preserve">The number included in the survey was the maximum feasible.  The participating facilities were selected through </w:t>
      </w:r>
      <w:r w:rsidR="00375C7D" w:rsidRPr="0016235B">
        <w:rPr>
          <w:rFonts w:ascii="Candara" w:eastAsia="MS Mincho" w:hAnsi="Candara"/>
          <w:sz w:val="24"/>
          <w:szCs w:val="24"/>
        </w:rPr>
        <w:t xml:space="preserve">a </w:t>
      </w:r>
      <w:r w:rsidR="00803EE8" w:rsidRPr="0016235B">
        <w:rPr>
          <w:rFonts w:ascii="Candara" w:eastAsia="MS Mincho" w:hAnsi="Candara"/>
          <w:sz w:val="24"/>
          <w:szCs w:val="24"/>
        </w:rPr>
        <w:t xml:space="preserve">multistage stratified random sampling. </w:t>
      </w:r>
      <w:r w:rsidR="00D124E8" w:rsidRPr="0016235B">
        <w:rPr>
          <w:rFonts w:ascii="Candara" w:eastAsia="MS Mincho" w:hAnsi="Candara"/>
          <w:sz w:val="24"/>
          <w:szCs w:val="24"/>
        </w:rPr>
        <w:t>The sampling process was as follows:</w:t>
      </w:r>
    </w:p>
    <w:p w14:paraId="4D060CFB" w14:textId="58771CE8" w:rsidR="00C26B91" w:rsidRPr="0016235B" w:rsidRDefault="00D124E8" w:rsidP="00167C3D">
      <w:pPr>
        <w:jc w:val="both"/>
        <w:rPr>
          <w:rFonts w:ascii="Candara" w:eastAsia="MS Mincho" w:hAnsi="Candara"/>
          <w:sz w:val="24"/>
          <w:szCs w:val="24"/>
        </w:rPr>
      </w:pPr>
      <w:r w:rsidRPr="0016235B">
        <w:rPr>
          <w:rFonts w:ascii="Candara" w:eastAsia="MS Mincho" w:hAnsi="Candara"/>
          <w:sz w:val="24"/>
          <w:szCs w:val="24"/>
        </w:rPr>
        <w:t xml:space="preserve">First, </w:t>
      </w:r>
      <w:r w:rsidR="00C26B91" w:rsidRPr="0016235B">
        <w:rPr>
          <w:rFonts w:ascii="Candara" w:eastAsia="MS Mincho" w:hAnsi="Candara"/>
          <w:sz w:val="24"/>
          <w:szCs w:val="24"/>
        </w:rPr>
        <w:t>an up-to-date list (sampling frame) of all districts with their health care facilities was obtained from the M</w:t>
      </w:r>
      <w:r w:rsidR="00B8607B">
        <w:rPr>
          <w:rFonts w:ascii="Candara" w:eastAsia="MS Mincho" w:hAnsi="Candara"/>
          <w:sz w:val="24"/>
          <w:szCs w:val="24"/>
        </w:rPr>
        <w:t>O</w:t>
      </w:r>
      <w:r w:rsidR="00C26B91" w:rsidRPr="0016235B">
        <w:rPr>
          <w:rFonts w:ascii="Candara" w:eastAsia="MS Mincho" w:hAnsi="Candara"/>
          <w:sz w:val="24"/>
          <w:szCs w:val="24"/>
        </w:rPr>
        <w:t>H in Uganda. The list consisted of</w:t>
      </w:r>
      <w:r w:rsidR="00822316" w:rsidRPr="0016235B">
        <w:rPr>
          <w:rFonts w:ascii="Candara" w:eastAsia="MS Mincho" w:hAnsi="Candara"/>
          <w:sz w:val="24"/>
          <w:szCs w:val="24"/>
        </w:rPr>
        <w:t xml:space="preserve"> 6,100 health care facilities in</w:t>
      </w:r>
      <w:r w:rsidR="00C26B91" w:rsidRPr="0016235B">
        <w:rPr>
          <w:rFonts w:ascii="Candara" w:eastAsia="MS Mincho" w:hAnsi="Candara"/>
          <w:sz w:val="24"/>
          <w:szCs w:val="24"/>
        </w:rPr>
        <w:t xml:space="preserve"> </w:t>
      </w:r>
      <w:r w:rsidR="001C6B81" w:rsidRPr="0016235B">
        <w:rPr>
          <w:rFonts w:ascii="Candara" w:eastAsia="MS Mincho" w:hAnsi="Candara"/>
          <w:sz w:val="24"/>
          <w:szCs w:val="24"/>
        </w:rPr>
        <w:t>129</w:t>
      </w:r>
      <w:r w:rsidR="00C26B91" w:rsidRPr="0016235B">
        <w:rPr>
          <w:rFonts w:ascii="Candara" w:eastAsia="MS Mincho" w:hAnsi="Candara"/>
          <w:sz w:val="24"/>
          <w:szCs w:val="24"/>
        </w:rPr>
        <w:t xml:space="preserve"> districts. Any currently functional government and private facilities were potentially eligible for inclusion in the study.</w:t>
      </w:r>
    </w:p>
    <w:p w14:paraId="1E93A11C" w14:textId="519BD5D9" w:rsidR="00D124E8" w:rsidRPr="0016235B" w:rsidRDefault="00C26B91" w:rsidP="00167C3D">
      <w:pPr>
        <w:jc w:val="both"/>
        <w:rPr>
          <w:rFonts w:ascii="Candara" w:eastAsia="MS Mincho" w:hAnsi="Candara"/>
          <w:sz w:val="24"/>
          <w:szCs w:val="24"/>
        </w:rPr>
      </w:pPr>
      <w:r w:rsidRPr="0016235B">
        <w:rPr>
          <w:rFonts w:ascii="Candara" w:eastAsia="MS Mincho" w:hAnsi="Candara"/>
          <w:sz w:val="24"/>
          <w:szCs w:val="24"/>
        </w:rPr>
        <w:t>T</w:t>
      </w:r>
      <w:r w:rsidR="00D124E8" w:rsidRPr="0016235B">
        <w:rPr>
          <w:rFonts w:ascii="Candara" w:eastAsia="MS Mincho" w:hAnsi="Candara"/>
          <w:sz w:val="24"/>
          <w:szCs w:val="24"/>
        </w:rPr>
        <w:t>he country was</w:t>
      </w:r>
      <w:r w:rsidRPr="0016235B">
        <w:rPr>
          <w:rFonts w:ascii="Candara" w:eastAsia="MS Mincho" w:hAnsi="Candara"/>
          <w:sz w:val="24"/>
          <w:szCs w:val="24"/>
        </w:rPr>
        <w:t xml:space="preserve"> then</w:t>
      </w:r>
      <w:r w:rsidR="00D124E8" w:rsidRPr="0016235B">
        <w:rPr>
          <w:rFonts w:ascii="Candara" w:eastAsia="MS Mincho" w:hAnsi="Candara"/>
          <w:sz w:val="24"/>
          <w:szCs w:val="24"/>
        </w:rPr>
        <w:t xml:space="preserve"> partitioned into 10 health regions</w:t>
      </w:r>
      <w:r w:rsidR="00A4403F" w:rsidRPr="0016235B">
        <w:rPr>
          <w:rFonts w:ascii="Candara" w:eastAsia="MS Mincho" w:hAnsi="Candara"/>
          <w:sz w:val="24"/>
          <w:szCs w:val="24"/>
        </w:rPr>
        <w:t>, also referred to as health zones</w:t>
      </w:r>
      <w:r w:rsidR="00D124E8" w:rsidRPr="0016235B">
        <w:rPr>
          <w:rStyle w:val="FootnoteReference"/>
          <w:rFonts w:ascii="Candara" w:eastAsia="MS Mincho" w:hAnsi="Candara"/>
          <w:sz w:val="24"/>
          <w:szCs w:val="24"/>
        </w:rPr>
        <w:footnoteReference w:id="3"/>
      </w:r>
      <w:r w:rsidR="007F2EB3" w:rsidRPr="0016235B">
        <w:rPr>
          <w:rFonts w:ascii="Candara" w:eastAsia="MS Mincho" w:hAnsi="Candara"/>
          <w:sz w:val="24"/>
          <w:szCs w:val="24"/>
        </w:rPr>
        <w:t xml:space="preserve">. Health regions in </w:t>
      </w:r>
      <w:r w:rsidR="00A4403F" w:rsidRPr="0016235B">
        <w:rPr>
          <w:rFonts w:ascii="Candara" w:eastAsia="MS Mincho" w:hAnsi="Candara"/>
          <w:sz w:val="24"/>
          <w:szCs w:val="24"/>
        </w:rPr>
        <w:t>Uganda are</w:t>
      </w:r>
      <w:r w:rsidR="00045BF0" w:rsidRPr="0016235B">
        <w:rPr>
          <w:rFonts w:ascii="Candara" w:eastAsia="MS Mincho" w:hAnsi="Candara"/>
          <w:sz w:val="24"/>
          <w:szCs w:val="24"/>
        </w:rPr>
        <w:t xml:space="preserve"> non-administrative regions that the Ministry of Health uses for purposes of</w:t>
      </w:r>
      <w:r w:rsidR="00193918">
        <w:rPr>
          <w:rFonts w:ascii="Candara" w:eastAsia="MS Mincho" w:hAnsi="Candara"/>
          <w:sz w:val="24"/>
          <w:szCs w:val="24"/>
        </w:rPr>
        <w:t xml:space="preserve"> easily</w:t>
      </w:r>
      <w:r w:rsidR="00045BF0" w:rsidRPr="0016235B">
        <w:rPr>
          <w:rFonts w:ascii="Candara" w:eastAsia="MS Mincho" w:hAnsi="Candara"/>
          <w:sz w:val="24"/>
          <w:szCs w:val="24"/>
        </w:rPr>
        <w:t xml:space="preserve"> coordinating health care delivery in the country. </w:t>
      </w:r>
    </w:p>
    <w:p w14:paraId="041EA4AE" w14:textId="3C923604" w:rsidR="00CB0EBC" w:rsidRPr="0016235B" w:rsidRDefault="00CD0949" w:rsidP="00CB0EBC">
      <w:pPr>
        <w:jc w:val="both"/>
        <w:rPr>
          <w:rFonts w:ascii="Candara" w:eastAsia="MS Mincho" w:hAnsi="Candara"/>
          <w:sz w:val="24"/>
          <w:szCs w:val="24"/>
        </w:rPr>
      </w:pPr>
      <w:r w:rsidRPr="0016235B">
        <w:rPr>
          <w:rFonts w:ascii="Candara" w:eastAsia="MS Mincho" w:hAnsi="Candara"/>
          <w:sz w:val="24"/>
          <w:szCs w:val="24"/>
        </w:rPr>
        <w:t>Owing</w:t>
      </w:r>
      <w:r w:rsidR="00394C87" w:rsidRPr="0016235B">
        <w:rPr>
          <w:rFonts w:ascii="Candara" w:eastAsia="MS Mincho" w:hAnsi="Candara"/>
          <w:sz w:val="24"/>
          <w:szCs w:val="24"/>
        </w:rPr>
        <w:t xml:space="preserve"> to their small number, all regional referral hospitals</w:t>
      </w:r>
      <w:r w:rsidR="003D1966" w:rsidRPr="0016235B">
        <w:rPr>
          <w:rFonts w:ascii="Candara" w:eastAsia="MS Mincho" w:hAnsi="Candara"/>
          <w:sz w:val="24"/>
          <w:szCs w:val="24"/>
        </w:rPr>
        <w:t xml:space="preserve"> were</w:t>
      </w:r>
      <w:r w:rsidR="00394C87" w:rsidRPr="0016235B">
        <w:rPr>
          <w:rFonts w:ascii="Candara" w:eastAsia="MS Mincho" w:hAnsi="Candara"/>
          <w:sz w:val="24"/>
          <w:szCs w:val="24"/>
        </w:rPr>
        <w:t xml:space="preserve"> included in the survey. To select </w:t>
      </w:r>
      <w:r w:rsidR="008174AB" w:rsidRPr="0016235B">
        <w:rPr>
          <w:rFonts w:ascii="Candara" w:eastAsia="MS Mincho" w:hAnsi="Candara"/>
          <w:sz w:val="24"/>
          <w:szCs w:val="24"/>
        </w:rPr>
        <w:t>health care facilities</w:t>
      </w:r>
      <w:r w:rsidR="00394C87" w:rsidRPr="0016235B">
        <w:rPr>
          <w:rFonts w:ascii="Candara" w:eastAsia="MS Mincho" w:hAnsi="Candara"/>
          <w:sz w:val="24"/>
          <w:szCs w:val="24"/>
        </w:rPr>
        <w:t xml:space="preserve"> from </w:t>
      </w:r>
      <w:r w:rsidR="003D1966" w:rsidRPr="0016235B">
        <w:rPr>
          <w:rFonts w:ascii="Candara" w:eastAsia="MS Mincho" w:hAnsi="Candara"/>
          <w:sz w:val="24"/>
          <w:szCs w:val="24"/>
        </w:rPr>
        <w:t xml:space="preserve">the </w:t>
      </w:r>
      <w:r w:rsidR="00394C87" w:rsidRPr="0016235B">
        <w:rPr>
          <w:rFonts w:ascii="Candara" w:eastAsia="MS Mincho" w:hAnsi="Candara"/>
          <w:sz w:val="24"/>
          <w:szCs w:val="24"/>
        </w:rPr>
        <w:t>other</w:t>
      </w:r>
      <w:r w:rsidR="003D1966" w:rsidRPr="0016235B">
        <w:rPr>
          <w:rFonts w:ascii="Candara" w:eastAsia="MS Mincho" w:hAnsi="Candara"/>
          <w:sz w:val="24"/>
          <w:szCs w:val="24"/>
        </w:rPr>
        <w:t xml:space="preserve"> health</w:t>
      </w:r>
      <w:r w:rsidR="00394C87" w:rsidRPr="0016235B">
        <w:rPr>
          <w:rFonts w:ascii="Candara" w:eastAsia="MS Mincho" w:hAnsi="Candara"/>
          <w:sz w:val="24"/>
          <w:szCs w:val="24"/>
        </w:rPr>
        <w:t xml:space="preserve"> facility levels</w:t>
      </w:r>
      <w:r w:rsidR="008174AB" w:rsidRPr="0016235B">
        <w:rPr>
          <w:rFonts w:ascii="Candara" w:eastAsia="MS Mincho" w:hAnsi="Candara"/>
          <w:sz w:val="24"/>
          <w:szCs w:val="24"/>
        </w:rPr>
        <w:t xml:space="preserve">, an independent </w:t>
      </w:r>
      <w:r w:rsidR="00B40115" w:rsidRPr="0016235B">
        <w:rPr>
          <w:rFonts w:ascii="Candara" w:eastAsia="MS Mincho" w:hAnsi="Candara"/>
          <w:sz w:val="24"/>
          <w:szCs w:val="24"/>
        </w:rPr>
        <w:t>two</w:t>
      </w:r>
      <w:r w:rsidRPr="0016235B">
        <w:rPr>
          <w:rFonts w:ascii="Candara" w:eastAsia="MS Mincho" w:hAnsi="Candara"/>
          <w:sz w:val="24"/>
          <w:szCs w:val="24"/>
        </w:rPr>
        <w:t>-stage sample was</w:t>
      </w:r>
      <w:r w:rsidR="008174AB" w:rsidRPr="0016235B">
        <w:rPr>
          <w:rFonts w:ascii="Candara" w:eastAsia="MS Mincho" w:hAnsi="Candara"/>
          <w:sz w:val="24"/>
          <w:szCs w:val="24"/>
        </w:rPr>
        <w:t xml:space="preserve"> taken from each health region. At the first stage, two districts were</w:t>
      </w:r>
      <w:r w:rsidR="00B40115" w:rsidRPr="0016235B">
        <w:rPr>
          <w:rFonts w:ascii="Candara" w:eastAsia="MS Mincho" w:hAnsi="Candara"/>
          <w:sz w:val="24"/>
          <w:szCs w:val="24"/>
        </w:rPr>
        <w:t xml:space="preserve"> randomly</w:t>
      </w:r>
      <w:r w:rsidR="0043293D" w:rsidRPr="0016235B">
        <w:rPr>
          <w:rFonts w:ascii="Candara" w:eastAsia="MS Mincho" w:hAnsi="Candara"/>
          <w:sz w:val="24"/>
          <w:szCs w:val="24"/>
        </w:rPr>
        <w:t xml:space="preserve"> sampled from each health region. </w:t>
      </w:r>
      <w:r w:rsidR="00824B1F" w:rsidRPr="0016235B">
        <w:rPr>
          <w:rFonts w:ascii="Candara" w:eastAsia="MS Mincho" w:hAnsi="Candara"/>
          <w:sz w:val="24"/>
          <w:szCs w:val="24"/>
        </w:rPr>
        <w:t>A</w:t>
      </w:r>
      <w:r w:rsidR="00833BA7" w:rsidRPr="0016235B">
        <w:rPr>
          <w:rFonts w:ascii="Candara" w:eastAsia="MS Mincho" w:hAnsi="Candara"/>
          <w:sz w:val="24"/>
          <w:szCs w:val="24"/>
        </w:rPr>
        <w:t>t the second stage</w:t>
      </w:r>
      <w:r w:rsidR="00824B1F" w:rsidRPr="0016235B">
        <w:rPr>
          <w:rFonts w:ascii="Candara" w:eastAsia="MS Mincho" w:hAnsi="Candara"/>
          <w:sz w:val="24"/>
          <w:szCs w:val="24"/>
        </w:rPr>
        <w:t>,</w:t>
      </w:r>
      <w:r w:rsidR="00833BA7" w:rsidRPr="0016235B">
        <w:rPr>
          <w:rFonts w:ascii="Candara" w:eastAsia="MS Mincho" w:hAnsi="Candara"/>
          <w:sz w:val="24"/>
          <w:szCs w:val="24"/>
        </w:rPr>
        <w:t xml:space="preserve"> health care facilities</w:t>
      </w:r>
      <w:r w:rsidR="008174AB" w:rsidRPr="0016235B">
        <w:rPr>
          <w:rFonts w:ascii="Candara" w:eastAsia="MS Mincho" w:hAnsi="Candara"/>
          <w:sz w:val="24"/>
          <w:szCs w:val="24"/>
        </w:rPr>
        <w:t xml:space="preserve"> were</w:t>
      </w:r>
      <w:r w:rsidR="00824B1F" w:rsidRPr="0016235B">
        <w:rPr>
          <w:rFonts w:ascii="Candara" w:eastAsia="MS Mincho" w:hAnsi="Candara"/>
          <w:sz w:val="24"/>
          <w:szCs w:val="24"/>
        </w:rPr>
        <w:t xml:space="preserve"> stratified by level and </w:t>
      </w:r>
      <w:r w:rsidR="00477677" w:rsidRPr="0016235B">
        <w:rPr>
          <w:rFonts w:ascii="Candara" w:eastAsia="MS Mincho" w:hAnsi="Candara"/>
          <w:sz w:val="24"/>
          <w:szCs w:val="24"/>
        </w:rPr>
        <w:t>selected through simple random sampling</w:t>
      </w:r>
      <w:r w:rsidR="00B40115" w:rsidRPr="0016235B">
        <w:rPr>
          <w:rFonts w:ascii="Candara" w:eastAsia="MS Mincho" w:hAnsi="Candara"/>
          <w:sz w:val="24"/>
          <w:szCs w:val="24"/>
        </w:rPr>
        <w:t>.</w:t>
      </w:r>
      <w:r w:rsidR="00CB0EBC" w:rsidRPr="0016235B">
        <w:rPr>
          <w:rFonts w:ascii="Candara" w:eastAsia="MS Mincho" w:hAnsi="Candara"/>
          <w:sz w:val="24"/>
          <w:szCs w:val="24"/>
        </w:rPr>
        <w:t xml:space="preserve"> The national referral hospitals were excluded because they</w:t>
      </w:r>
      <w:r w:rsidR="003052AB" w:rsidRPr="0016235B">
        <w:rPr>
          <w:rFonts w:ascii="Candara" w:eastAsia="MS Mincho" w:hAnsi="Candara"/>
          <w:sz w:val="24"/>
          <w:szCs w:val="24"/>
        </w:rPr>
        <w:t xml:space="preserve"> are </w:t>
      </w:r>
      <w:r w:rsidR="00CB0EBC" w:rsidRPr="0016235B">
        <w:rPr>
          <w:rFonts w:ascii="Candara" w:eastAsia="MS Mincho" w:hAnsi="Candara"/>
          <w:sz w:val="24"/>
          <w:szCs w:val="24"/>
        </w:rPr>
        <w:t xml:space="preserve">highly specialized units. </w:t>
      </w:r>
    </w:p>
    <w:p w14:paraId="73AD70E9" w14:textId="77777777" w:rsidR="0025074D" w:rsidRPr="0016235B" w:rsidRDefault="0025074D" w:rsidP="00167C3D">
      <w:pPr>
        <w:jc w:val="both"/>
        <w:rPr>
          <w:rFonts w:ascii="Candara" w:eastAsia="MS Mincho" w:hAnsi="Candara"/>
          <w:sz w:val="24"/>
          <w:szCs w:val="24"/>
        </w:rPr>
      </w:pPr>
    </w:p>
    <w:p w14:paraId="37049FBE" w14:textId="32E0F419" w:rsidR="0077191C" w:rsidRPr="0016235B" w:rsidRDefault="0025074D" w:rsidP="001C6B81">
      <w:pPr>
        <w:spacing w:after="0"/>
        <w:jc w:val="both"/>
        <w:rPr>
          <w:rFonts w:ascii="Candara" w:eastAsia="MS Mincho" w:hAnsi="Candara"/>
          <w:b/>
          <w:sz w:val="24"/>
          <w:szCs w:val="24"/>
        </w:rPr>
      </w:pPr>
      <w:r w:rsidRPr="0016235B">
        <w:rPr>
          <w:rFonts w:ascii="Candara" w:eastAsia="MS Mincho" w:hAnsi="Candara"/>
          <w:b/>
          <w:sz w:val="24"/>
          <w:szCs w:val="24"/>
        </w:rPr>
        <w:t>Development of data collection tool</w:t>
      </w:r>
    </w:p>
    <w:p w14:paraId="1C01B03C" w14:textId="77777777" w:rsidR="0026552A" w:rsidRPr="0016235B" w:rsidRDefault="0025074D" w:rsidP="00167C3D">
      <w:pPr>
        <w:jc w:val="both"/>
        <w:rPr>
          <w:rFonts w:ascii="Candara" w:eastAsia="MS Mincho" w:hAnsi="Candara"/>
          <w:sz w:val="24"/>
          <w:szCs w:val="24"/>
        </w:rPr>
      </w:pPr>
      <w:r w:rsidRPr="0016235B">
        <w:rPr>
          <w:rFonts w:ascii="Candara" w:eastAsia="MS Mincho" w:hAnsi="Candara"/>
          <w:sz w:val="24"/>
          <w:szCs w:val="24"/>
        </w:rPr>
        <w:t>Data were collected using the standard SARA tool developed by WHO</w:t>
      </w:r>
      <w:r w:rsidR="00B01378" w:rsidRPr="0016235B">
        <w:rPr>
          <w:rStyle w:val="FootnoteReference"/>
          <w:rFonts w:ascii="Candara" w:eastAsia="MS Mincho" w:hAnsi="Candara"/>
          <w:sz w:val="24"/>
          <w:szCs w:val="24"/>
        </w:rPr>
        <w:footnoteReference w:id="4"/>
      </w:r>
      <w:r w:rsidRPr="0016235B">
        <w:rPr>
          <w:rFonts w:ascii="Candara" w:eastAsia="MS Mincho" w:hAnsi="Candara"/>
          <w:sz w:val="24"/>
          <w:szCs w:val="24"/>
        </w:rPr>
        <w:t xml:space="preserve">. Sections of the tool were however adapted to capture some specific contexts in Uganda. </w:t>
      </w:r>
      <w:r w:rsidR="00D66C50" w:rsidRPr="0016235B">
        <w:rPr>
          <w:rFonts w:ascii="Candara" w:eastAsia="MS Mincho" w:hAnsi="Candara"/>
          <w:sz w:val="24"/>
          <w:szCs w:val="24"/>
        </w:rPr>
        <w:t>Adaptation of the tool was done in a workshop that involved</w:t>
      </w:r>
      <w:r w:rsidR="002C4A54" w:rsidRPr="0016235B">
        <w:rPr>
          <w:rFonts w:ascii="Candara" w:eastAsia="MS Mincho" w:hAnsi="Candara"/>
          <w:sz w:val="24"/>
          <w:szCs w:val="24"/>
        </w:rPr>
        <w:t xml:space="preserve"> all the key partners. The </w:t>
      </w:r>
      <w:r w:rsidR="00D66C50" w:rsidRPr="0016235B">
        <w:rPr>
          <w:rFonts w:ascii="Candara" w:eastAsia="MS Mincho" w:hAnsi="Candara"/>
          <w:sz w:val="24"/>
          <w:szCs w:val="24"/>
        </w:rPr>
        <w:t xml:space="preserve">adapted tool was piloted </w:t>
      </w:r>
      <w:r w:rsidR="00D63F05" w:rsidRPr="0016235B">
        <w:rPr>
          <w:rFonts w:ascii="Candara" w:eastAsia="MS Mincho" w:hAnsi="Candara"/>
          <w:sz w:val="24"/>
          <w:szCs w:val="24"/>
        </w:rPr>
        <w:t>and adjusted in-</w:t>
      </w:r>
      <w:r w:rsidR="002C4A54" w:rsidRPr="0016235B">
        <w:rPr>
          <w:rFonts w:ascii="Candara" w:eastAsia="MS Mincho" w:hAnsi="Candara"/>
          <w:sz w:val="24"/>
          <w:szCs w:val="24"/>
        </w:rPr>
        <w:t>light of the experience obtained during the pilot study.</w:t>
      </w:r>
    </w:p>
    <w:p w14:paraId="37CC5D3B" w14:textId="77777777" w:rsidR="0026552A" w:rsidRPr="0016235B" w:rsidRDefault="0026552A" w:rsidP="00167C3D">
      <w:pPr>
        <w:jc w:val="both"/>
        <w:rPr>
          <w:rFonts w:ascii="Candara" w:eastAsia="MS Mincho" w:hAnsi="Candara"/>
          <w:sz w:val="24"/>
          <w:szCs w:val="24"/>
        </w:rPr>
      </w:pPr>
    </w:p>
    <w:p w14:paraId="6B53DB7C" w14:textId="0B181198" w:rsidR="0026552A" w:rsidRPr="0016235B" w:rsidRDefault="0026552A" w:rsidP="00167C3D">
      <w:pPr>
        <w:jc w:val="both"/>
        <w:rPr>
          <w:rFonts w:ascii="Candara" w:eastAsia="MS Mincho" w:hAnsi="Candara"/>
          <w:b/>
          <w:sz w:val="24"/>
          <w:szCs w:val="24"/>
        </w:rPr>
      </w:pPr>
      <w:r w:rsidRPr="0016235B">
        <w:rPr>
          <w:rFonts w:ascii="Candara" w:eastAsia="MS Mincho" w:hAnsi="Candara"/>
          <w:b/>
          <w:sz w:val="24"/>
          <w:szCs w:val="24"/>
        </w:rPr>
        <w:t>Data collection:</w:t>
      </w:r>
    </w:p>
    <w:p w14:paraId="3567BD46" w14:textId="7D35D416" w:rsidR="0026552A" w:rsidRPr="0016235B" w:rsidRDefault="0026552A" w:rsidP="001C6B81">
      <w:pPr>
        <w:spacing w:after="0"/>
        <w:jc w:val="both"/>
        <w:rPr>
          <w:rFonts w:ascii="Candara" w:eastAsia="MS Mincho" w:hAnsi="Candara"/>
          <w:sz w:val="24"/>
          <w:szCs w:val="24"/>
          <w:lang w:val="en-GB"/>
        </w:rPr>
      </w:pPr>
      <w:r w:rsidRPr="0016235B">
        <w:rPr>
          <w:rFonts w:ascii="Candara" w:eastAsia="MS Mincho" w:hAnsi="Candara"/>
          <w:sz w:val="24"/>
          <w:szCs w:val="24"/>
        </w:rPr>
        <w:t>The data were collected by trained data collectors using both paper questionnaires and mobile electronic devices that had</w:t>
      </w:r>
      <w:r w:rsidR="00970673" w:rsidRPr="0016235B">
        <w:rPr>
          <w:rFonts w:ascii="Candara" w:eastAsia="MS Mincho" w:hAnsi="Candara"/>
          <w:sz w:val="24"/>
          <w:szCs w:val="24"/>
        </w:rPr>
        <w:t xml:space="preserve"> </w:t>
      </w:r>
      <w:r w:rsidR="00970673" w:rsidRPr="0016235B">
        <w:rPr>
          <w:rFonts w:ascii="Candara" w:eastAsia="MS Mincho" w:hAnsi="Candara"/>
          <w:sz w:val="24"/>
          <w:szCs w:val="24"/>
          <w:lang w:val="en-GB"/>
        </w:rPr>
        <w:t>Census and Survey Processing System (</w:t>
      </w:r>
      <w:proofErr w:type="spellStart"/>
      <w:r w:rsidR="00970673" w:rsidRPr="0016235B">
        <w:rPr>
          <w:rFonts w:ascii="Candara" w:eastAsia="MS Mincho" w:hAnsi="Candara"/>
          <w:sz w:val="24"/>
          <w:szCs w:val="24"/>
          <w:lang w:val="en-GB"/>
        </w:rPr>
        <w:t>CSPro</w:t>
      </w:r>
      <w:proofErr w:type="spellEnd"/>
      <w:r w:rsidR="00970673" w:rsidRPr="0016235B">
        <w:rPr>
          <w:rFonts w:ascii="Candara" w:eastAsia="MS Mincho" w:hAnsi="Candara"/>
          <w:sz w:val="24"/>
          <w:szCs w:val="24"/>
          <w:lang w:val="en-GB"/>
        </w:rPr>
        <w:t>)</w:t>
      </w:r>
      <w:r w:rsidRPr="0016235B">
        <w:rPr>
          <w:rFonts w:ascii="Candara" w:eastAsia="MS Mincho" w:hAnsi="Candara"/>
          <w:sz w:val="24"/>
          <w:szCs w:val="24"/>
        </w:rPr>
        <w:t xml:space="preserve"> software.</w:t>
      </w:r>
      <w:r w:rsidR="001816DC" w:rsidRPr="0016235B">
        <w:rPr>
          <w:rFonts w:ascii="Candara" w:eastAsia="MS Mincho" w:hAnsi="Candara"/>
          <w:sz w:val="24"/>
          <w:szCs w:val="24"/>
        </w:rPr>
        <w:t xml:space="preserve"> </w:t>
      </w:r>
      <w:proofErr w:type="spellStart"/>
      <w:r w:rsidR="001816DC" w:rsidRPr="0016235B">
        <w:rPr>
          <w:rFonts w:ascii="Candara" w:eastAsia="MS Mincho" w:hAnsi="Candara"/>
          <w:sz w:val="24"/>
          <w:szCs w:val="24"/>
          <w:lang w:val="en-GB"/>
        </w:rPr>
        <w:t>CSPro</w:t>
      </w:r>
      <w:proofErr w:type="spellEnd"/>
      <w:r w:rsidR="001816DC" w:rsidRPr="0016235B">
        <w:rPr>
          <w:rFonts w:ascii="Candara" w:eastAsia="MS Mincho" w:hAnsi="Candara"/>
          <w:sz w:val="24"/>
          <w:szCs w:val="24"/>
          <w:lang w:val="en-GB"/>
        </w:rPr>
        <w:t xml:space="preserve"> is a software package for entry, editing, tabulation, and dissemination of census and survey data.  With </w:t>
      </w:r>
      <w:proofErr w:type="spellStart"/>
      <w:r w:rsidR="001816DC" w:rsidRPr="0016235B">
        <w:rPr>
          <w:rFonts w:ascii="Candara" w:eastAsia="MS Mincho" w:hAnsi="Candara"/>
          <w:sz w:val="24"/>
          <w:szCs w:val="24"/>
          <w:lang w:val="en-GB"/>
        </w:rPr>
        <w:t>CSPro</w:t>
      </w:r>
      <w:proofErr w:type="spellEnd"/>
      <w:r w:rsidR="001816DC" w:rsidRPr="0016235B">
        <w:rPr>
          <w:rFonts w:ascii="Candara" w:eastAsia="MS Mincho" w:hAnsi="Candara"/>
          <w:sz w:val="24"/>
          <w:szCs w:val="24"/>
          <w:lang w:val="en-GB"/>
        </w:rPr>
        <w:t xml:space="preserve"> software, one </w:t>
      </w:r>
      <w:proofErr w:type="gramStart"/>
      <w:r w:rsidR="001816DC" w:rsidRPr="0016235B">
        <w:rPr>
          <w:rFonts w:ascii="Candara" w:eastAsia="MS Mincho" w:hAnsi="Candara"/>
          <w:sz w:val="24"/>
          <w:szCs w:val="24"/>
          <w:lang w:val="en-GB"/>
        </w:rPr>
        <w:t>is able to</w:t>
      </w:r>
      <w:proofErr w:type="gramEnd"/>
      <w:r w:rsidR="001816DC" w:rsidRPr="0016235B">
        <w:rPr>
          <w:rFonts w:ascii="Candara" w:eastAsia="MS Mincho" w:hAnsi="Candara"/>
          <w:sz w:val="24"/>
          <w:szCs w:val="24"/>
          <w:lang w:val="en-GB"/>
        </w:rPr>
        <w:t xml:space="preserve"> create, modify, and run data entry, batch editing, and tabulation applications from a single integrated development environment.  </w:t>
      </w:r>
      <w:proofErr w:type="spellStart"/>
      <w:r w:rsidR="001816DC" w:rsidRPr="0016235B">
        <w:rPr>
          <w:rFonts w:ascii="Candara" w:eastAsia="MS Mincho" w:hAnsi="Candara"/>
          <w:sz w:val="24"/>
          <w:szCs w:val="24"/>
          <w:lang w:val="en-GB"/>
        </w:rPr>
        <w:t>CSPro</w:t>
      </w:r>
      <w:proofErr w:type="spellEnd"/>
      <w:r w:rsidR="001816DC" w:rsidRPr="0016235B">
        <w:rPr>
          <w:rFonts w:ascii="Candara" w:eastAsia="MS Mincho" w:hAnsi="Candara"/>
          <w:sz w:val="24"/>
          <w:szCs w:val="24"/>
          <w:lang w:val="en-GB"/>
        </w:rPr>
        <w:t xml:space="preserve"> was developed jointly by the U.S. Census Bureau, Macro </w:t>
      </w:r>
      <w:r w:rsidR="001816DC" w:rsidRPr="0016235B">
        <w:rPr>
          <w:rFonts w:ascii="Candara" w:eastAsia="MS Mincho" w:hAnsi="Candara"/>
          <w:sz w:val="24"/>
          <w:szCs w:val="24"/>
          <w:lang w:val="en-GB"/>
        </w:rPr>
        <w:lastRenderedPageBreak/>
        <w:t xml:space="preserve">International, and </w:t>
      </w:r>
      <w:proofErr w:type="spellStart"/>
      <w:r w:rsidR="001816DC" w:rsidRPr="0016235B">
        <w:rPr>
          <w:rFonts w:ascii="Candara" w:eastAsia="MS Mincho" w:hAnsi="Candara"/>
          <w:sz w:val="24"/>
          <w:szCs w:val="24"/>
          <w:lang w:val="en-GB"/>
        </w:rPr>
        <w:t>Serpro</w:t>
      </w:r>
      <w:proofErr w:type="spellEnd"/>
      <w:r w:rsidR="001816DC" w:rsidRPr="0016235B">
        <w:rPr>
          <w:rFonts w:ascii="Candara" w:eastAsia="MS Mincho" w:hAnsi="Candara"/>
          <w:sz w:val="24"/>
          <w:szCs w:val="24"/>
          <w:lang w:val="en-GB"/>
        </w:rPr>
        <w:t xml:space="preserve">, SA, with major funding from the U.S. Agency for International Development. WHO has chosen and uses </w:t>
      </w:r>
      <w:proofErr w:type="spellStart"/>
      <w:r w:rsidR="001816DC" w:rsidRPr="0016235B">
        <w:rPr>
          <w:rFonts w:ascii="Candara" w:eastAsia="MS Mincho" w:hAnsi="Candara"/>
          <w:sz w:val="24"/>
          <w:szCs w:val="24"/>
          <w:lang w:val="en-GB"/>
        </w:rPr>
        <w:t>CSPro</w:t>
      </w:r>
      <w:proofErr w:type="spellEnd"/>
      <w:r w:rsidR="001816DC" w:rsidRPr="0016235B">
        <w:rPr>
          <w:rFonts w:ascii="Candara" w:eastAsia="MS Mincho" w:hAnsi="Candara"/>
          <w:sz w:val="24"/>
          <w:szCs w:val="24"/>
          <w:lang w:val="en-GB"/>
        </w:rPr>
        <w:t xml:space="preserve"> software for facility assessment survey, SARA. A standard </w:t>
      </w:r>
      <w:proofErr w:type="spellStart"/>
      <w:r w:rsidR="001816DC" w:rsidRPr="0016235B">
        <w:rPr>
          <w:rFonts w:ascii="Candara" w:eastAsia="MS Mincho" w:hAnsi="Candara"/>
          <w:sz w:val="24"/>
          <w:szCs w:val="24"/>
          <w:lang w:val="en-GB"/>
        </w:rPr>
        <w:t>CSPro</w:t>
      </w:r>
      <w:proofErr w:type="spellEnd"/>
      <w:r w:rsidR="001816DC" w:rsidRPr="0016235B">
        <w:rPr>
          <w:rFonts w:ascii="Candara" w:eastAsia="MS Mincho" w:hAnsi="Candara"/>
          <w:sz w:val="24"/>
          <w:szCs w:val="24"/>
          <w:lang w:val="en-GB"/>
        </w:rPr>
        <w:t xml:space="preserve"> application for SARA, together with its data analysis tool called the “chartbook”, has been developed and is adaptable at country level. Global positioning system has also been built in the </w:t>
      </w:r>
      <w:proofErr w:type="spellStart"/>
      <w:r w:rsidR="001816DC" w:rsidRPr="0016235B">
        <w:rPr>
          <w:rFonts w:ascii="Candara" w:eastAsia="MS Mincho" w:hAnsi="Candara"/>
          <w:sz w:val="24"/>
          <w:szCs w:val="24"/>
          <w:lang w:val="en-GB"/>
        </w:rPr>
        <w:t>CSPro</w:t>
      </w:r>
      <w:proofErr w:type="spellEnd"/>
      <w:r w:rsidR="001816DC" w:rsidRPr="0016235B">
        <w:rPr>
          <w:rFonts w:ascii="Candara" w:eastAsia="MS Mincho" w:hAnsi="Candara"/>
          <w:sz w:val="24"/>
          <w:szCs w:val="24"/>
          <w:lang w:val="en-GB"/>
        </w:rPr>
        <w:t xml:space="preserve"> application for SARA to record coordinates of each facility to facilitate mapping</w:t>
      </w:r>
      <w:r w:rsidR="008B181A" w:rsidRPr="0016235B">
        <w:rPr>
          <w:rFonts w:ascii="Candara" w:eastAsia="MS Mincho" w:hAnsi="Candara"/>
          <w:sz w:val="24"/>
          <w:szCs w:val="24"/>
          <w:lang w:val="en-GB"/>
        </w:rPr>
        <w:t>.</w:t>
      </w:r>
    </w:p>
    <w:p w14:paraId="1516542B" w14:textId="11BABC0E" w:rsidR="008B181A" w:rsidRPr="0016235B" w:rsidRDefault="008B181A" w:rsidP="001C6B81">
      <w:pPr>
        <w:spacing w:after="0"/>
        <w:jc w:val="both"/>
        <w:rPr>
          <w:rFonts w:ascii="Candara" w:eastAsia="MS Mincho" w:hAnsi="Candara"/>
          <w:sz w:val="24"/>
          <w:szCs w:val="24"/>
          <w:lang w:val="en-GB"/>
        </w:rPr>
      </w:pPr>
    </w:p>
    <w:p w14:paraId="43CD1FFB" w14:textId="7A579304" w:rsidR="00A1163B" w:rsidRPr="0016235B" w:rsidRDefault="00E9497F" w:rsidP="001C6B81">
      <w:pPr>
        <w:spacing w:after="0"/>
        <w:jc w:val="both"/>
        <w:rPr>
          <w:rFonts w:ascii="Candara" w:eastAsia="MS Mincho" w:hAnsi="Candara"/>
          <w:sz w:val="24"/>
          <w:szCs w:val="24"/>
          <w:lang w:val="en-GB"/>
        </w:rPr>
      </w:pPr>
      <w:r w:rsidRPr="0016235B">
        <w:rPr>
          <w:rFonts w:ascii="Candara" w:eastAsia="MS Mincho" w:hAnsi="Candara"/>
          <w:sz w:val="24"/>
          <w:szCs w:val="24"/>
          <w:lang w:val="en-GB"/>
        </w:rPr>
        <w:t>Data collectors, together with their supervisors, were trained for three days using the SARA</w:t>
      </w:r>
      <w:r w:rsidR="00025898" w:rsidRPr="0016235B">
        <w:rPr>
          <w:rFonts w:ascii="Candara" w:eastAsia="MS Mincho" w:hAnsi="Candara"/>
          <w:sz w:val="24"/>
          <w:szCs w:val="24"/>
          <w:lang w:val="en-GB"/>
        </w:rPr>
        <w:t xml:space="preserve"> reference manual and</w:t>
      </w:r>
      <w:r w:rsidRPr="0016235B">
        <w:rPr>
          <w:rFonts w:ascii="Candara" w:eastAsia="MS Mincho" w:hAnsi="Candara"/>
          <w:sz w:val="24"/>
          <w:szCs w:val="24"/>
          <w:lang w:val="en-GB"/>
        </w:rPr>
        <w:t xml:space="preserve"> implementation guide</w:t>
      </w:r>
      <w:r w:rsidR="00025898" w:rsidRPr="0016235B">
        <w:rPr>
          <w:rStyle w:val="FootnoteReference"/>
          <w:rFonts w:ascii="Candara" w:eastAsia="MS Mincho" w:hAnsi="Candara"/>
          <w:sz w:val="24"/>
          <w:szCs w:val="24"/>
          <w:lang w:val="en-GB"/>
        </w:rPr>
        <w:footnoteReference w:id="5"/>
      </w:r>
      <w:r w:rsidRPr="0016235B">
        <w:rPr>
          <w:rFonts w:ascii="Candara" w:eastAsia="MS Mincho" w:hAnsi="Candara"/>
          <w:sz w:val="24"/>
          <w:szCs w:val="24"/>
          <w:lang w:val="en-GB"/>
        </w:rPr>
        <w:t xml:space="preserve"> developed by WHO.</w:t>
      </w:r>
      <w:r w:rsidR="00300AB9" w:rsidRPr="0016235B">
        <w:rPr>
          <w:rFonts w:ascii="Candara" w:eastAsia="MS Mincho" w:hAnsi="Candara"/>
          <w:sz w:val="24"/>
          <w:szCs w:val="24"/>
          <w:lang w:val="en-GB"/>
        </w:rPr>
        <w:t xml:space="preserve"> The training included practical sessions on how to ask each of the questions in the questionnaire and p</w:t>
      </w:r>
      <w:r w:rsidR="00C92531" w:rsidRPr="0016235B">
        <w:rPr>
          <w:rFonts w:ascii="Candara" w:eastAsia="MS Mincho" w:hAnsi="Candara"/>
          <w:sz w:val="24"/>
          <w:szCs w:val="24"/>
          <w:lang w:val="en-GB"/>
        </w:rPr>
        <w:t>robe for appropriate response.</w:t>
      </w:r>
    </w:p>
    <w:p w14:paraId="0CAFF711" w14:textId="55A60F55" w:rsidR="00C92531" w:rsidRPr="0016235B" w:rsidRDefault="00C92531" w:rsidP="001C6B81">
      <w:pPr>
        <w:spacing w:after="0"/>
        <w:jc w:val="both"/>
        <w:rPr>
          <w:rFonts w:ascii="Candara" w:eastAsia="MS Mincho" w:hAnsi="Candara"/>
          <w:sz w:val="24"/>
          <w:szCs w:val="24"/>
          <w:lang w:val="en-GB"/>
        </w:rPr>
      </w:pPr>
    </w:p>
    <w:p w14:paraId="48B6CED1" w14:textId="63022922" w:rsidR="00C92531" w:rsidRPr="0016235B" w:rsidRDefault="00C92531" w:rsidP="00C92531">
      <w:pPr>
        <w:spacing w:after="0"/>
        <w:jc w:val="both"/>
        <w:rPr>
          <w:rFonts w:ascii="Candara" w:eastAsia="MS Mincho" w:hAnsi="Candara"/>
          <w:sz w:val="24"/>
          <w:szCs w:val="24"/>
        </w:rPr>
      </w:pPr>
      <w:r w:rsidRPr="0016235B">
        <w:rPr>
          <w:rFonts w:ascii="Candara" w:eastAsia="MS Mincho" w:hAnsi="Candara"/>
          <w:sz w:val="24"/>
          <w:szCs w:val="24"/>
        </w:rPr>
        <w:t>External survey quality assurance was provided by the public health consulting firm, John Snow</w:t>
      </w:r>
      <w:r w:rsidR="00F50F18" w:rsidRPr="0016235B">
        <w:rPr>
          <w:rFonts w:ascii="Candara" w:eastAsia="MS Mincho" w:hAnsi="Candara"/>
          <w:sz w:val="24"/>
          <w:szCs w:val="24"/>
        </w:rPr>
        <w:t>,</w:t>
      </w:r>
      <w:r w:rsidRPr="0016235B">
        <w:rPr>
          <w:rFonts w:ascii="Candara" w:eastAsia="MS Mincho" w:hAnsi="Candara"/>
          <w:sz w:val="24"/>
          <w:szCs w:val="24"/>
        </w:rPr>
        <w:t xml:space="preserve"> Inc (JSI). This included a repeat of the survey in a sample of</w:t>
      </w:r>
      <w:r w:rsidR="00263F2D" w:rsidRPr="0016235B">
        <w:rPr>
          <w:rFonts w:ascii="Candara" w:eastAsia="MS Mincho" w:hAnsi="Candara"/>
          <w:sz w:val="24"/>
          <w:szCs w:val="24"/>
        </w:rPr>
        <w:t xml:space="preserve"> 12% of the facilities that had</w:t>
      </w:r>
      <w:r w:rsidRPr="0016235B">
        <w:rPr>
          <w:rFonts w:ascii="Candara" w:eastAsia="MS Mincho" w:hAnsi="Candara"/>
          <w:sz w:val="24"/>
          <w:szCs w:val="24"/>
        </w:rPr>
        <w:t xml:space="preserve"> already</w:t>
      </w:r>
      <w:r w:rsidR="00263F2D" w:rsidRPr="0016235B">
        <w:rPr>
          <w:rFonts w:ascii="Candara" w:eastAsia="MS Mincho" w:hAnsi="Candara"/>
          <w:sz w:val="24"/>
          <w:szCs w:val="24"/>
        </w:rPr>
        <w:t xml:space="preserve"> been</w:t>
      </w:r>
      <w:r w:rsidRPr="0016235B">
        <w:rPr>
          <w:rFonts w:ascii="Candara" w:eastAsia="MS Mincho" w:hAnsi="Candara"/>
          <w:sz w:val="24"/>
          <w:szCs w:val="24"/>
        </w:rPr>
        <w:t xml:space="preserve"> visited by the data collectors.  </w:t>
      </w:r>
    </w:p>
    <w:p w14:paraId="64F0E473" w14:textId="08790D96" w:rsidR="009A4519" w:rsidRPr="0016235B" w:rsidRDefault="009A4519" w:rsidP="00C92531">
      <w:pPr>
        <w:spacing w:after="0"/>
        <w:jc w:val="both"/>
        <w:rPr>
          <w:rFonts w:ascii="Candara" w:eastAsia="MS Mincho" w:hAnsi="Candara"/>
          <w:sz w:val="24"/>
          <w:szCs w:val="24"/>
        </w:rPr>
      </w:pPr>
    </w:p>
    <w:p w14:paraId="270AE5FF" w14:textId="41E76258" w:rsidR="009A4519" w:rsidRPr="0016235B" w:rsidRDefault="009A4519" w:rsidP="00C92531">
      <w:pPr>
        <w:spacing w:after="0"/>
        <w:jc w:val="both"/>
        <w:rPr>
          <w:rFonts w:ascii="Candara" w:eastAsia="MS Mincho" w:hAnsi="Candara"/>
          <w:b/>
          <w:sz w:val="24"/>
          <w:szCs w:val="24"/>
        </w:rPr>
      </w:pPr>
      <w:r w:rsidRPr="0016235B">
        <w:rPr>
          <w:rFonts w:ascii="Candara" w:eastAsia="MS Mincho" w:hAnsi="Candara"/>
          <w:b/>
          <w:sz w:val="24"/>
          <w:szCs w:val="24"/>
        </w:rPr>
        <w:t>Data analysis</w:t>
      </w:r>
    </w:p>
    <w:p w14:paraId="0F8CF136" w14:textId="0BB824E3" w:rsidR="00B21D91" w:rsidRPr="0016235B" w:rsidRDefault="002B42F2" w:rsidP="00D333A0">
      <w:pPr>
        <w:spacing w:after="0"/>
        <w:jc w:val="both"/>
        <w:rPr>
          <w:rFonts w:ascii="Candara" w:eastAsia="MS Mincho" w:hAnsi="Candara"/>
          <w:sz w:val="24"/>
          <w:szCs w:val="24"/>
        </w:rPr>
      </w:pPr>
      <w:r w:rsidRPr="0016235B">
        <w:rPr>
          <w:rFonts w:ascii="Candara" w:eastAsia="MS Mincho" w:hAnsi="Candara"/>
          <w:sz w:val="24"/>
          <w:szCs w:val="24"/>
        </w:rPr>
        <w:t xml:space="preserve">Analysis was based on data from </w:t>
      </w:r>
      <w:r w:rsidR="00FF2AA1" w:rsidRPr="0016235B">
        <w:rPr>
          <w:rFonts w:ascii="Candara" w:eastAsia="MS Mincho" w:hAnsi="Candara"/>
          <w:sz w:val="24"/>
          <w:szCs w:val="24"/>
        </w:rPr>
        <w:t xml:space="preserve">166 of the 215 facilities that were surveyed. Data for 49 facilities were missing due to challenges with data storage. </w:t>
      </w:r>
      <w:r w:rsidR="00D333A0" w:rsidRPr="0016235B">
        <w:rPr>
          <w:rFonts w:ascii="Candara" w:eastAsia="MS Mincho" w:hAnsi="Candara"/>
          <w:sz w:val="24"/>
          <w:szCs w:val="24"/>
        </w:rPr>
        <w:t>All analyses</w:t>
      </w:r>
      <w:r w:rsidR="00176310" w:rsidRPr="0016235B">
        <w:rPr>
          <w:rFonts w:ascii="Candara" w:eastAsia="MS Mincho" w:hAnsi="Candara"/>
          <w:sz w:val="24"/>
          <w:szCs w:val="24"/>
        </w:rPr>
        <w:t xml:space="preserve"> were carried out in STATA V.15</w:t>
      </w:r>
      <w:r w:rsidR="00D333A0" w:rsidRPr="0016235B">
        <w:rPr>
          <w:rFonts w:ascii="Candara" w:eastAsia="MS Mincho" w:hAnsi="Candara"/>
          <w:sz w:val="24"/>
          <w:szCs w:val="24"/>
        </w:rPr>
        <w:t>.0 using methods that are appropriate for the complex multistage survey design. Details of the analysis are as follows: Each variable was assigned value 1 if the service or item for offering the service was available and 0 if they were unavailable.  Sampling weights were then applied to reflect the probability of selection</w:t>
      </w:r>
      <w:r w:rsidR="000E79DF" w:rsidRPr="0016235B">
        <w:rPr>
          <w:rFonts w:ascii="Candara" w:eastAsia="MS Mincho" w:hAnsi="Candara"/>
          <w:sz w:val="24"/>
          <w:szCs w:val="24"/>
        </w:rPr>
        <w:t xml:space="preserve"> of facilities and districts</w:t>
      </w:r>
      <w:r w:rsidR="00D333A0" w:rsidRPr="0016235B">
        <w:rPr>
          <w:rFonts w:ascii="Candara" w:eastAsia="MS Mincho" w:hAnsi="Candara"/>
          <w:sz w:val="24"/>
          <w:szCs w:val="24"/>
        </w:rPr>
        <w:t xml:space="preserve"> at each stage of the sampling design. The Stata commands for survey data were used for all analyses. Categorical variables were </w:t>
      </w:r>
      <w:r w:rsidR="002B2429" w:rsidRPr="0016235B">
        <w:rPr>
          <w:rFonts w:ascii="Candara" w:eastAsia="MS Mincho" w:hAnsi="Candara"/>
          <w:sz w:val="24"/>
          <w:szCs w:val="24"/>
        </w:rPr>
        <w:t>summarized</w:t>
      </w:r>
      <w:r w:rsidR="00D333A0" w:rsidRPr="0016235B">
        <w:rPr>
          <w:rFonts w:ascii="Candara" w:eastAsia="MS Mincho" w:hAnsi="Candara"/>
          <w:sz w:val="24"/>
          <w:szCs w:val="24"/>
        </w:rPr>
        <w:t xml:space="preserve"> as frequencies, proportions and 95% CIs. Continuous variables were </w:t>
      </w:r>
      <w:r w:rsidR="002B2429" w:rsidRPr="0016235B">
        <w:rPr>
          <w:rFonts w:ascii="Candara" w:eastAsia="MS Mincho" w:hAnsi="Candara"/>
          <w:sz w:val="24"/>
          <w:szCs w:val="24"/>
        </w:rPr>
        <w:t>summarized</w:t>
      </w:r>
      <w:r w:rsidR="00D333A0" w:rsidRPr="0016235B">
        <w:rPr>
          <w:rFonts w:ascii="Candara" w:eastAsia="MS Mincho" w:hAnsi="Candara"/>
          <w:sz w:val="24"/>
          <w:szCs w:val="24"/>
        </w:rPr>
        <w:t xml:space="preserve"> by the mean. Where categorical variables had</w:t>
      </w:r>
      <w:r w:rsidR="0045209E" w:rsidRPr="0016235B">
        <w:rPr>
          <w:rFonts w:ascii="Candara" w:eastAsia="MS Mincho" w:hAnsi="Candara"/>
          <w:sz w:val="24"/>
          <w:szCs w:val="24"/>
        </w:rPr>
        <w:t xml:space="preserve"> </w:t>
      </w:r>
      <w:r w:rsidR="00D333A0" w:rsidRPr="0016235B">
        <w:rPr>
          <w:rFonts w:ascii="Candara" w:eastAsia="MS Mincho" w:hAnsi="Candara"/>
          <w:sz w:val="24"/>
          <w:szCs w:val="24"/>
        </w:rPr>
        <w:t>some categories with low frequency, categories were</w:t>
      </w:r>
      <w:r w:rsidR="0045209E" w:rsidRPr="0016235B">
        <w:rPr>
          <w:rFonts w:ascii="Candara" w:eastAsia="MS Mincho" w:hAnsi="Candara"/>
          <w:sz w:val="24"/>
          <w:szCs w:val="24"/>
        </w:rPr>
        <w:t xml:space="preserve"> </w:t>
      </w:r>
      <w:r w:rsidR="00D333A0" w:rsidRPr="0016235B">
        <w:rPr>
          <w:rFonts w:ascii="Candara" w:eastAsia="MS Mincho" w:hAnsi="Candara"/>
          <w:sz w:val="24"/>
          <w:szCs w:val="24"/>
        </w:rPr>
        <w:t>combined for analysis where appropriate.</w:t>
      </w:r>
      <w:r w:rsidR="00B9659B" w:rsidRPr="0016235B">
        <w:rPr>
          <w:rFonts w:ascii="Candara" w:eastAsia="MS Mincho" w:hAnsi="Candara"/>
          <w:sz w:val="24"/>
          <w:szCs w:val="24"/>
        </w:rPr>
        <w:t xml:space="preserve"> The percentage of facilities that reported that they o</w:t>
      </w:r>
      <w:r w:rsidR="00B21D91" w:rsidRPr="0016235B">
        <w:rPr>
          <w:rFonts w:ascii="Candara" w:eastAsia="MS Mincho" w:hAnsi="Candara"/>
          <w:sz w:val="24"/>
          <w:szCs w:val="24"/>
        </w:rPr>
        <w:t>ffered a service and their readiness to provide the service was reported overall and then by facility level, geographical zone,</w:t>
      </w:r>
      <w:r w:rsidR="00B9659B" w:rsidRPr="0016235B">
        <w:rPr>
          <w:rFonts w:ascii="Candara" w:eastAsia="MS Mincho" w:hAnsi="Candara"/>
          <w:sz w:val="24"/>
          <w:szCs w:val="24"/>
        </w:rPr>
        <w:t xml:space="preserve"> </w:t>
      </w:r>
      <w:r w:rsidR="00B21D91" w:rsidRPr="0016235B">
        <w:rPr>
          <w:rFonts w:ascii="Candara" w:eastAsia="MS Mincho" w:hAnsi="Candara"/>
          <w:sz w:val="24"/>
          <w:szCs w:val="24"/>
        </w:rPr>
        <w:t xml:space="preserve">public-private ownership and urban-rural location of the facility. </w:t>
      </w:r>
    </w:p>
    <w:p w14:paraId="111D9CD8" w14:textId="3816CCDB" w:rsidR="00A273AB" w:rsidRPr="0016235B" w:rsidRDefault="00A273AB" w:rsidP="00D333A0">
      <w:pPr>
        <w:spacing w:after="0"/>
        <w:jc w:val="both"/>
        <w:rPr>
          <w:rFonts w:ascii="Candara" w:eastAsia="MS Mincho" w:hAnsi="Candara"/>
          <w:sz w:val="24"/>
          <w:szCs w:val="24"/>
        </w:rPr>
      </w:pPr>
    </w:p>
    <w:p w14:paraId="19852532" w14:textId="5E5AA6F6" w:rsidR="003270E6" w:rsidRPr="0016235B" w:rsidRDefault="003270E6" w:rsidP="00D333A0">
      <w:pPr>
        <w:spacing w:after="0"/>
        <w:jc w:val="both"/>
        <w:rPr>
          <w:rFonts w:ascii="Candara" w:eastAsia="MS Mincho" w:hAnsi="Candara"/>
          <w:i/>
          <w:sz w:val="24"/>
          <w:szCs w:val="24"/>
        </w:rPr>
      </w:pPr>
      <w:r w:rsidRPr="0016235B">
        <w:rPr>
          <w:rFonts w:ascii="Candara" w:eastAsia="MS Mincho" w:hAnsi="Candara"/>
          <w:i/>
          <w:sz w:val="24"/>
          <w:szCs w:val="24"/>
        </w:rPr>
        <w:t>Assessment of general service readiness:</w:t>
      </w:r>
    </w:p>
    <w:p w14:paraId="5DDE03EA" w14:textId="77777777" w:rsidR="00171574" w:rsidRPr="0016235B" w:rsidRDefault="003270E6" w:rsidP="00171574">
      <w:pPr>
        <w:spacing w:after="0"/>
        <w:jc w:val="both"/>
        <w:rPr>
          <w:rFonts w:ascii="Candara" w:eastAsia="MS Mincho" w:hAnsi="Candara"/>
          <w:sz w:val="24"/>
          <w:szCs w:val="24"/>
        </w:rPr>
      </w:pPr>
      <w:r w:rsidRPr="0016235B">
        <w:rPr>
          <w:rFonts w:ascii="Candara" w:eastAsia="MS Mincho" w:hAnsi="Candara"/>
          <w:bCs/>
          <w:sz w:val="24"/>
          <w:szCs w:val="24"/>
        </w:rPr>
        <w:t xml:space="preserve">The World Health Organization defines general service readiness as the </w:t>
      </w:r>
      <w:r w:rsidRPr="0016235B">
        <w:rPr>
          <w:rFonts w:ascii="Candara" w:eastAsia="MS Mincho" w:hAnsi="Candara"/>
          <w:sz w:val="24"/>
          <w:szCs w:val="24"/>
        </w:rPr>
        <w:t>overall capacity of health facilities to provide general health services. Assessment</w:t>
      </w:r>
      <w:r w:rsidR="006F7581" w:rsidRPr="0016235B">
        <w:rPr>
          <w:rFonts w:ascii="Candara" w:eastAsia="MS Mincho" w:hAnsi="Candara"/>
          <w:sz w:val="24"/>
          <w:szCs w:val="24"/>
        </w:rPr>
        <w:t xml:space="preserve"> of general service readiness was</w:t>
      </w:r>
      <w:r w:rsidRPr="0016235B">
        <w:rPr>
          <w:rFonts w:ascii="Candara" w:eastAsia="MS Mincho" w:hAnsi="Candara"/>
          <w:sz w:val="24"/>
          <w:szCs w:val="24"/>
        </w:rPr>
        <w:t xml:space="preserve"> based on the presence of items of basic amenities, basic equipment, standard precautions for infection prevention, diagnostic capacity and essential medicines – these five components of general service readiness are also referred to as general service readiness domains. For each of the domains, assessment of availability of the items </w:t>
      </w:r>
      <w:r w:rsidR="002B3F1D" w:rsidRPr="0016235B">
        <w:rPr>
          <w:rFonts w:ascii="Candara" w:eastAsia="MS Mincho" w:hAnsi="Candara"/>
          <w:sz w:val="24"/>
          <w:szCs w:val="24"/>
        </w:rPr>
        <w:t>wa</w:t>
      </w:r>
      <w:r w:rsidRPr="0016235B">
        <w:rPr>
          <w:rFonts w:ascii="Candara" w:eastAsia="MS Mincho" w:hAnsi="Candara"/>
          <w:sz w:val="24"/>
          <w:szCs w:val="24"/>
        </w:rPr>
        <w:t>s based on the physical presence of the items and confirmation of their functionality by the interviewer</w:t>
      </w:r>
      <w:r w:rsidR="006F7581" w:rsidRPr="0016235B">
        <w:rPr>
          <w:rFonts w:ascii="Candara" w:eastAsia="MS Mincho" w:hAnsi="Candara"/>
          <w:sz w:val="24"/>
          <w:szCs w:val="24"/>
        </w:rPr>
        <w:t xml:space="preserve"> i.e. the items we</w:t>
      </w:r>
      <w:r w:rsidRPr="0016235B">
        <w:rPr>
          <w:rFonts w:ascii="Candara" w:eastAsia="MS Mincho" w:hAnsi="Candara"/>
          <w:sz w:val="24"/>
          <w:szCs w:val="24"/>
        </w:rPr>
        <w:t>re only considered available if the</w:t>
      </w:r>
      <w:r w:rsidR="002B3F1D" w:rsidRPr="0016235B">
        <w:rPr>
          <w:rFonts w:ascii="Candara" w:eastAsia="MS Mincho" w:hAnsi="Candara"/>
          <w:sz w:val="24"/>
          <w:szCs w:val="24"/>
        </w:rPr>
        <w:t>y we</w:t>
      </w:r>
      <w:r w:rsidRPr="0016235B">
        <w:rPr>
          <w:rFonts w:ascii="Candara" w:eastAsia="MS Mincho" w:hAnsi="Candara"/>
          <w:sz w:val="24"/>
          <w:szCs w:val="24"/>
        </w:rPr>
        <w:t xml:space="preserve">re confirmed by the interviewer to be fully functional. </w:t>
      </w:r>
      <w:r w:rsidR="00171574" w:rsidRPr="0016235B">
        <w:rPr>
          <w:rFonts w:ascii="Candara" w:eastAsia="MS Mincho" w:hAnsi="Candara"/>
          <w:sz w:val="24"/>
          <w:szCs w:val="24"/>
        </w:rPr>
        <w:t xml:space="preserve">General service readiness in this report was derived as a composite index of the five general service readiness domains. </w:t>
      </w:r>
      <w:r w:rsidR="00171574" w:rsidRPr="0016235B">
        <w:rPr>
          <w:rFonts w:ascii="Candara" w:eastAsia="MS Mincho" w:hAnsi="Candara"/>
          <w:sz w:val="24"/>
          <w:szCs w:val="24"/>
        </w:rPr>
        <w:lastRenderedPageBreak/>
        <w:t xml:space="preserve">First, a score was generated for each domain based on the availability of items of the domain. An overall general readiness score (index) was then calculated as the unweighted mean of the five domains. </w:t>
      </w:r>
    </w:p>
    <w:p w14:paraId="64FA9873" w14:textId="77777777" w:rsidR="003270E6" w:rsidRPr="0016235B" w:rsidRDefault="003270E6" w:rsidP="00D333A0">
      <w:pPr>
        <w:spacing w:after="0"/>
        <w:jc w:val="both"/>
        <w:rPr>
          <w:rFonts w:ascii="Candara" w:eastAsia="MS Mincho" w:hAnsi="Candara"/>
          <w:sz w:val="24"/>
          <w:szCs w:val="24"/>
        </w:rPr>
      </w:pPr>
    </w:p>
    <w:p w14:paraId="1234B5AF" w14:textId="77777777" w:rsidR="003270E6" w:rsidRPr="0016235B" w:rsidRDefault="003270E6" w:rsidP="00D333A0">
      <w:pPr>
        <w:spacing w:after="0"/>
        <w:jc w:val="both"/>
        <w:rPr>
          <w:rFonts w:ascii="Candara" w:eastAsia="MS Mincho" w:hAnsi="Candara"/>
          <w:i/>
          <w:sz w:val="24"/>
          <w:szCs w:val="24"/>
        </w:rPr>
      </w:pPr>
      <w:r w:rsidRPr="0016235B">
        <w:rPr>
          <w:rFonts w:ascii="Candara" w:eastAsia="MS Mincho" w:hAnsi="Candara"/>
          <w:i/>
          <w:sz w:val="24"/>
          <w:szCs w:val="24"/>
        </w:rPr>
        <w:t>Service-specific availability and readiness</w:t>
      </w:r>
    </w:p>
    <w:p w14:paraId="1E36D18C" w14:textId="77777777" w:rsidR="00B8607B" w:rsidRDefault="00A273AB" w:rsidP="00B8607B">
      <w:pPr>
        <w:spacing w:after="0"/>
        <w:jc w:val="both"/>
        <w:rPr>
          <w:rFonts w:ascii="Candara" w:eastAsia="MS Mincho" w:hAnsi="Candara"/>
          <w:sz w:val="24"/>
          <w:szCs w:val="24"/>
        </w:rPr>
      </w:pPr>
      <w:r w:rsidRPr="0016235B">
        <w:rPr>
          <w:rFonts w:ascii="Candara" w:eastAsia="MS Mincho" w:hAnsi="Candara"/>
          <w:sz w:val="24"/>
          <w:szCs w:val="24"/>
        </w:rPr>
        <w:t xml:space="preserve">Service-specific availability was computed as the percentage of facilities that indicated that they offered the service that was enquired about. Assessment of readiness was based on the availability of items that </w:t>
      </w:r>
      <w:r w:rsidR="002B2429" w:rsidRPr="0016235B">
        <w:rPr>
          <w:rFonts w:ascii="Candara" w:eastAsia="MS Mincho" w:hAnsi="Candara"/>
          <w:sz w:val="24"/>
          <w:szCs w:val="24"/>
        </w:rPr>
        <w:t>were</w:t>
      </w:r>
      <w:r w:rsidRPr="0016235B">
        <w:rPr>
          <w:rFonts w:ascii="Candara" w:eastAsia="MS Mincho" w:hAnsi="Candara"/>
          <w:sz w:val="24"/>
          <w:szCs w:val="24"/>
        </w:rPr>
        <w:t xml:space="preserve"> particularly important to support the delivery of services</w:t>
      </w:r>
      <w:r w:rsidR="002A11B1" w:rsidRPr="0016235B">
        <w:rPr>
          <w:rFonts w:ascii="Candara" w:eastAsia="MS Mincho" w:hAnsi="Candara"/>
          <w:sz w:val="24"/>
          <w:szCs w:val="24"/>
        </w:rPr>
        <w:t xml:space="preserve"> and that were enquired about during the survey</w:t>
      </w:r>
      <w:r w:rsidRPr="0016235B">
        <w:rPr>
          <w:rFonts w:ascii="Candara" w:eastAsia="MS Mincho" w:hAnsi="Candara"/>
          <w:sz w:val="24"/>
          <w:szCs w:val="24"/>
        </w:rPr>
        <w:t xml:space="preserve">. A readiness score was generated as the unweighted mean of the items. </w:t>
      </w:r>
    </w:p>
    <w:p w14:paraId="22BA7BDF" w14:textId="3811B303" w:rsidR="00167C3D" w:rsidRPr="0016235B" w:rsidRDefault="00167C3D" w:rsidP="00B8607B">
      <w:pPr>
        <w:spacing w:after="0"/>
        <w:jc w:val="both"/>
        <w:rPr>
          <w:rFonts w:ascii="Candara" w:eastAsia="MS Mincho" w:hAnsi="Candara"/>
          <w:sz w:val="24"/>
          <w:szCs w:val="24"/>
        </w:rPr>
      </w:pPr>
      <w:r w:rsidRPr="0016235B">
        <w:rPr>
          <w:rFonts w:ascii="Candara" w:eastAsia="MS Mincho" w:hAnsi="Candara"/>
          <w:sz w:val="24"/>
          <w:szCs w:val="24"/>
        </w:rPr>
        <w:t>A nation</w:t>
      </w:r>
      <w:r w:rsidR="0031121E" w:rsidRPr="0016235B">
        <w:rPr>
          <w:rFonts w:ascii="Candara" w:eastAsia="MS Mincho" w:hAnsi="Candara"/>
          <w:sz w:val="24"/>
          <w:szCs w:val="24"/>
        </w:rPr>
        <w:t>al</w:t>
      </w:r>
      <w:r w:rsidRPr="0016235B">
        <w:rPr>
          <w:rFonts w:ascii="Candara" w:eastAsia="MS Mincho" w:hAnsi="Candara"/>
          <w:sz w:val="24"/>
          <w:szCs w:val="24"/>
        </w:rPr>
        <w:t xml:space="preserve"> sample of 215 health facilities (including public, PNFP and private sector facilities), stratified by health facility level of care and managing authority, was selected from the 10 health regions, using the Health Facility Master List. </w:t>
      </w:r>
    </w:p>
    <w:p w14:paraId="672ED162" w14:textId="26DB9451" w:rsidR="00167C3D" w:rsidRPr="0016235B" w:rsidRDefault="00167C3D" w:rsidP="00167C3D">
      <w:pPr>
        <w:jc w:val="both"/>
        <w:rPr>
          <w:rFonts w:ascii="Candara" w:eastAsia="MS Mincho" w:hAnsi="Candara"/>
          <w:sz w:val="24"/>
          <w:szCs w:val="24"/>
        </w:rPr>
      </w:pPr>
      <w:r w:rsidRPr="0016235B">
        <w:rPr>
          <w:rFonts w:ascii="Candara" w:eastAsia="MS Mincho" w:hAnsi="Candara"/>
          <w:sz w:val="24"/>
          <w:szCs w:val="24"/>
        </w:rPr>
        <w:t>The sampling was multi-stage with 2 districts being randomly selected from each of the health regions, except Kampala. One of the districts was “new” and the other “old” based on whether the district had been created before or 2010 and after. The number of health fa</w:t>
      </w:r>
      <w:r w:rsidR="005E60F4" w:rsidRPr="0016235B">
        <w:rPr>
          <w:rFonts w:ascii="Candara" w:eastAsia="MS Mincho" w:hAnsi="Candara"/>
          <w:sz w:val="24"/>
          <w:szCs w:val="24"/>
        </w:rPr>
        <w:t>cilities for a given health region</w:t>
      </w:r>
      <w:r w:rsidRPr="0016235B">
        <w:rPr>
          <w:rFonts w:ascii="Candara" w:eastAsia="MS Mincho" w:hAnsi="Candara"/>
          <w:sz w:val="24"/>
          <w:szCs w:val="24"/>
        </w:rPr>
        <w:t xml:space="preserve">, by facility type and </w:t>
      </w:r>
      <w:r w:rsidR="005E60F4" w:rsidRPr="0016235B">
        <w:rPr>
          <w:rFonts w:ascii="Candara" w:eastAsia="MS Mincho" w:hAnsi="Candara"/>
          <w:sz w:val="24"/>
          <w:szCs w:val="24"/>
        </w:rPr>
        <w:t>ownership</w:t>
      </w:r>
      <w:r w:rsidRPr="0016235B">
        <w:rPr>
          <w:rFonts w:ascii="Candara" w:eastAsia="MS Mincho" w:hAnsi="Candara"/>
          <w:sz w:val="24"/>
          <w:szCs w:val="24"/>
        </w:rPr>
        <w:t>, was then randomly selected from the two districts.</w:t>
      </w:r>
    </w:p>
    <w:p w14:paraId="0A237F5C" w14:textId="216A8FF9" w:rsidR="00167C3D" w:rsidRPr="0016235B" w:rsidRDefault="00167C3D" w:rsidP="00167C3D">
      <w:pPr>
        <w:jc w:val="both"/>
        <w:rPr>
          <w:rFonts w:ascii="Candara" w:eastAsia="MS Mincho" w:hAnsi="Candara"/>
          <w:sz w:val="24"/>
          <w:szCs w:val="24"/>
        </w:rPr>
      </w:pPr>
      <w:r w:rsidRPr="0016235B">
        <w:rPr>
          <w:rFonts w:ascii="Candara" w:eastAsia="MS Mincho" w:hAnsi="Candara"/>
          <w:sz w:val="24"/>
          <w:szCs w:val="24"/>
        </w:rPr>
        <w:t>The sample included all 14 regional referral hospitals and excluded the national referral hospitals. The national referral hospitals were left out of the sample because t</w:t>
      </w:r>
      <w:r w:rsidR="009C5BF8" w:rsidRPr="0016235B">
        <w:rPr>
          <w:rFonts w:ascii="Candara" w:eastAsia="MS Mincho" w:hAnsi="Candara"/>
          <w:sz w:val="24"/>
          <w:szCs w:val="24"/>
        </w:rPr>
        <w:t>hey are super specialized units</w:t>
      </w:r>
      <w:r w:rsidRPr="0016235B">
        <w:rPr>
          <w:rFonts w:ascii="Candara" w:eastAsia="MS Mincho" w:hAnsi="Candara"/>
          <w:sz w:val="24"/>
          <w:szCs w:val="24"/>
        </w:rPr>
        <w:t xml:space="preserve">. </w:t>
      </w:r>
    </w:p>
    <w:p w14:paraId="0ED9AF56" w14:textId="10221761" w:rsidR="00167C3D" w:rsidRPr="0016235B" w:rsidRDefault="00167C3D" w:rsidP="00167C3D">
      <w:pPr>
        <w:jc w:val="both"/>
        <w:rPr>
          <w:rFonts w:ascii="Candara" w:eastAsia="MS Mincho" w:hAnsi="Candara"/>
          <w:sz w:val="24"/>
          <w:szCs w:val="24"/>
        </w:rPr>
      </w:pPr>
      <w:r w:rsidRPr="0016235B">
        <w:rPr>
          <w:rFonts w:ascii="Candara" w:eastAsia="MS Mincho" w:hAnsi="Candara"/>
          <w:sz w:val="24"/>
          <w:szCs w:val="24"/>
        </w:rPr>
        <w:t xml:space="preserve">The field staff comprising supervisors and data collectors were trained in December 2017 on the data collection methodology, </w:t>
      </w:r>
      <w:r w:rsidR="00D91202" w:rsidRPr="0016235B">
        <w:rPr>
          <w:rFonts w:ascii="Candara" w:eastAsia="MS Mincho" w:hAnsi="Candara"/>
          <w:sz w:val="24"/>
          <w:szCs w:val="24"/>
        </w:rPr>
        <w:t>tool</w:t>
      </w:r>
      <w:r w:rsidRPr="0016235B">
        <w:rPr>
          <w:rFonts w:ascii="Candara" w:eastAsia="MS Mincho" w:hAnsi="Candara"/>
          <w:sz w:val="24"/>
          <w:szCs w:val="24"/>
        </w:rPr>
        <w:t xml:space="preserve"> content, and electronic data collection tools. Field work took place over a period of three weeks in January 2018. </w:t>
      </w:r>
    </w:p>
    <w:p w14:paraId="50283196" w14:textId="6933FDA9" w:rsidR="00167C3D" w:rsidRPr="0016235B" w:rsidRDefault="00167C3D" w:rsidP="00167C3D">
      <w:pPr>
        <w:jc w:val="both"/>
        <w:rPr>
          <w:rFonts w:ascii="Candara" w:eastAsia="MS Mincho" w:hAnsi="Candara"/>
          <w:sz w:val="24"/>
          <w:szCs w:val="24"/>
        </w:rPr>
      </w:pPr>
      <w:r w:rsidRPr="0016235B">
        <w:rPr>
          <w:rFonts w:ascii="Candara" w:eastAsia="MS Mincho" w:hAnsi="Candara"/>
          <w:sz w:val="24"/>
          <w:szCs w:val="24"/>
        </w:rPr>
        <w:t>All results were weighted to reflect the</w:t>
      </w:r>
      <w:r w:rsidR="005E60F4" w:rsidRPr="0016235B">
        <w:rPr>
          <w:rFonts w:ascii="Candara" w:eastAsia="MS Mincho" w:hAnsi="Candara"/>
          <w:sz w:val="24"/>
          <w:szCs w:val="24"/>
        </w:rPr>
        <w:t xml:space="preserve"> probability of sampling</w:t>
      </w:r>
      <w:r w:rsidRPr="0016235B">
        <w:rPr>
          <w:rFonts w:ascii="Candara" w:eastAsia="MS Mincho" w:hAnsi="Candara"/>
          <w:sz w:val="24"/>
          <w:szCs w:val="24"/>
        </w:rPr>
        <w:t xml:space="preserve">. The table below shows the breakdown of facilities selected. </w:t>
      </w:r>
      <w:r w:rsidR="00D91202" w:rsidRPr="0016235B">
        <w:rPr>
          <w:rFonts w:ascii="Candara" w:eastAsia="MS Mincho" w:hAnsi="Candara"/>
          <w:sz w:val="24"/>
          <w:szCs w:val="24"/>
        </w:rPr>
        <w:t>T</w:t>
      </w:r>
      <w:r w:rsidRPr="0016235B">
        <w:rPr>
          <w:rFonts w:ascii="Candara" w:eastAsia="MS Mincho" w:hAnsi="Candara"/>
          <w:sz w:val="24"/>
          <w:szCs w:val="24"/>
        </w:rPr>
        <w:t>ools for a total of 4</w:t>
      </w:r>
      <w:r w:rsidR="00B97884" w:rsidRPr="0016235B">
        <w:rPr>
          <w:rFonts w:ascii="Candara" w:eastAsia="MS Mincho" w:hAnsi="Candara"/>
          <w:sz w:val="24"/>
          <w:szCs w:val="24"/>
        </w:rPr>
        <w:t>9</w:t>
      </w:r>
      <w:r w:rsidRPr="0016235B">
        <w:rPr>
          <w:rFonts w:ascii="Candara" w:eastAsia="MS Mincho" w:hAnsi="Candara"/>
          <w:sz w:val="24"/>
          <w:szCs w:val="24"/>
        </w:rPr>
        <w:t xml:space="preserve"> health facilities were misplaced and therefore not entered.</w:t>
      </w:r>
    </w:p>
    <w:p w14:paraId="0A972872" w14:textId="77777777" w:rsidR="0045009E" w:rsidRPr="0016235B" w:rsidRDefault="0045009E" w:rsidP="00167C3D">
      <w:pPr>
        <w:jc w:val="both"/>
        <w:rPr>
          <w:rFonts w:ascii="Candara" w:eastAsia="MS Mincho" w:hAnsi="Candara"/>
          <w:sz w:val="24"/>
          <w:szCs w:val="24"/>
        </w:rPr>
      </w:pPr>
    </w:p>
    <w:p w14:paraId="4178F551" w14:textId="343E9F1C" w:rsidR="0045009E" w:rsidRPr="0016235B" w:rsidRDefault="0045009E" w:rsidP="001C6B81">
      <w:pPr>
        <w:pStyle w:val="Caption"/>
        <w:keepNext/>
        <w:spacing w:after="0"/>
        <w:rPr>
          <w:rFonts w:ascii="Candara" w:hAnsi="Candara"/>
          <w:sz w:val="24"/>
          <w:szCs w:val="24"/>
        </w:rPr>
      </w:pPr>
      <w:r w:rsidRPr="0016235B">
        <w:rPr>
          <w:rFonts w:ascii="Candara" w:hAnsi="Candara"/>
          <w:i w:val="0"/>
          <w:sz w:val="24"/>
          <w:szCs w:val="24"/>
        </w:rPr>
        <w:t xml:space="preserve">Table </w:t>
      </w:r>
      <w:r w:rsidRPr="0016235B">
        <w:rPr>
          <w:rFonts w:ascii="Candara" w:hAnsi="Candara"/>
          <w:i w:val="0"/>
          <w:sz w:val="24"/>
          <w:szCs w:val="24"/>
        </w:rPr>
        <w:fldChar w:fldCharType="begin"/>
      </w:r>
      <w:r w:rsidRPr="0016235B">
        <w:rPr>
          <w:rFonts w:ascii="Candara" w:hAnsi="Candara"/>
          <w:i w:val="0"/>
          <w:sz w:val="24"/>
          <w:szCs w:val="24"/>
        </w:rPr>
        <w:instrText xml:space="preserve"> SEQ Table \* ARABIC </w:instrText>
      </w:r>
      <w:r w:rsidRPr="0016235B">
        <w:rPr>
          <w:rFonts w:ascii="Candara" w:hAnsi="Candara"/>
          <w:i w:val="0"/>
          <w:sz w:val="24"/>
          <w:szCs w:val="24"/>
        </w:rPr>
        <w:fldChar w:fldCharType="separate"/>
      </w:r>
      <w:r w:rsidR="001A57C0">
        <w:rPr>
          <w:rFonts w:ascii="Candara" w:hAnsi="Candara"/>
          <w:i w:val="0"/>
          <w:noProof/>
          <w:sz w:val="24"/>
          <w:szCs w:val="24"/>
        </w:rPr>
        <w:t>1</w:t>
      </w:r>
      <w:r w:rsidRPr="0016235B">
        <w:rPr>
          <w:rFonts w:ascii="Candara" w:hAnsi="Candara"/>
          <w:i w:val="0"/>
          <w:sz w:val="24"/>
          <w:szCs w:val="24"/>
        </w:rPr>
        <w:fldChar w:fldCharType="end"/>
      </w:r>
      <w:r w:rsidRPr="0016235B">
        <w:rPr>
          <w:rFonts w:ascii="Candara" w:hAnsi="Candara"/>
          <w:i w:val="0"/>
          <w:sz w:val="24"/>
          <w:szCs w:val="24"/>
        </w:rPr>
        <w:t>: Number of facilities included in the survey by facility level</w:t>
      </w:r>
    </w:p>
    <w:tbl>
      <w:tblPr>
        <w:tblStyle w:val="TableGrid"/>
        <w:tblW w:w="7920" w:type="dxa"/>
        <w:tblInd w:w="445" w:type="dxa"/>
        <w:tblLook w:val="04A0" w:firstRow="1" w:lastRow="0" w:firstColumn="1" w:lastColumn="0" w:noHBand="0" w:noVBand="1"/>
      </w:tblPr>
      <w:tblGrid>
        <w:gridCol w:w="630"/>
        <w:gridCol w:w="2160"/>
        <w:gridCol w:w="1710"/>
        <w:gridCol w:w="1800"/>
        <w:gridCol w:w="1620"/>
      </w:tblGrid>
      <w:tr w:rsidR="00167C3D" w:rsidRPr="0016235B" w14:paraId="6F894E6C" w14:textId="77777777" w:rsidTr="00451187">
        <w:tc>
          <w:tcPr>
            <w:tcW w:w="630" w:type="dxa"/>
          </w:tcPr>
          <w:p w14:paraId="5F5394DC" w14:textId="77777777" w:rsidR="00167C3D" w:rsidRPr="0016235B" w:rsidRDefault="00167C3D" w:rsidP="00451187">
            <w:pPr>
              <w:jc w:val="both"/>
              <w:rPr>
                <w:rFonts w:ascii="Candara" w:hAnsi="Candara"/>
              </w:rPr>
            </w:pPr>
          </w:p>
        </w:tc>
        <w:tc>
          <w:tcPr>
            <w:tcW w:w="2160" w:type="dxa"/>
          </w:tcPr>
          <w:p w14:paraId="2482B17D" w14:textId="77777777" w:rsidR="00167C3D" w:rsidRPr="0016235B" w:rsidRDefault="00167C3D" w:rsidP="00451187">
            <w:pPr>
              <w:spacing w:after="160" w:line="259" w:lineRule="auto"/>
              <w:jc w:val="both"/>
              <w:rPr>
                <w:rFonts w:ascii="Candara" w:hAnsi="Candara"/>
              </w:rPr>
            </w:pPr>
            <w:r w:rsidRPr="0016235B">
              <w:rPr>
                <w:rFonts w:ascii="Candara" w:hAnsi="Candara"/>
                <w:b/>
                <w:bCs/>
              </w:rPr>
              <w:t>Level of care</w:t>
            </w:r>
          </w:p>
        </w:tc>
        <w:tc>
          <w:tcPr>
            <w:tcW w:w="1710" w:type="dxa"/>
          </w:tcPr>
          <w:p w14:paraId="44DFBBA9" w14:textId="77777777" w:rsidR="00167C3D" w:rsidRPr="0016235B" w:rsidRDefault="00167C3D" w:rsidP="00451187">
            <w:pPr>
              <w:spacing w:after="160" w:line="259" w:lineRule="auto"/>
              <w:jc w:val="center"/>
              <w:rPr>
                <w:rFonts w:ascii="Candara" w:hAnsi="Candara"/>
              </w:rPr>
            </w:pPr>
            <w:r w:rsidRPr="0016235B">
              <w:rPr>
                <w:rFonts w:ascii="Candara" w:hAnsi="Candara"/>
                <w:b/>
                <w:bCs/>
              </w:rPr>
              <w:t>Total number of facilities</w:t>
            </w:r>
          </w:p>
        </w:tc>
        <w:tc>
          <w:tcPr>
            <w:tcW w:w="1800" w:type="dxa"/>
          </w:tcPr>
          <w:p w14:paraId="562F2586" w14:textId="77777777" w:rsidR="00167C3D" w:rsidRPr="0016235B" w:rsidRDefault="00167C3D" w:rsidP="00451187">
            <w:pPr>
              <w:spacing w:after="160" w:line="259" w:lineRule="auto"/>
              <w:jc w:val="center"/>
              <w:rPr>
                <w:rFonts w:ascii="Candara" w:hAnsi="Candara"/>
              </w:rPr>
            </w:pPr>
            <w:r w:rsidRPr="0016235B">
              <w:rPr>
                <w:rFonts w:ascii="Candara" w:hAnsi="Candara"/>
                <w:b/>
                <w:bCs/>
              </w:rPr>
              <w:t>Facilities in sample</w:t>
            </w:r>
          </w:p>
        </w:tc>
        <w:tc>
          <w:tcPr>
            <w:tcW w:w="1620" w:type="dxa"/>
          </w:tcPr>
          <w:p w14:paraId="69BF6B6E" w14:textId="6A0BA3CC" w:rsidR="00167C3D" w:rsidRPr="0016235B" w:rsidRDefault="00167C3D" w:rsidP="009C5BF8">
            <w:pPr>
              <w:jc w:val="center"/>
              <w:rPr>
                <w:rFonts w:ascii="Candara" w:hAnsi="Candara"/>
                <w:b/>
                <w:bCs/>
              </w:rPr>
            </w:pPr>
            <w:r w:rsidRPr="0016235B">
              <w:rPr>
                <w:rFonts w:ascii="Candara" w:hAnsi="Candara"/>
                <w:b/>
                <w:bCs/>
              </w:rPr>
              <w:t>Final analy</w:t>
            </w:r>
            <w:r w:rsidR="009C5BF8" w:rsidRPr="0016235B">
              <w:rPr>
                <w:rFonts w:ascii="Candara" w:hAnsi="Candara"/>
                <w:b/>
                <w:bCs/>
              </w:rPr>
              <w:t>z</w:t>
            </w:r>
            <w:r w:rsidRPr="0016235B">
              <w:rPr>
                <w:rFonts w:ascii="Candara" w:hAnsi="Candara"/>
                <w:b/>
                <w:bCs/>
              </w:rPr>
              <w:t>ed sample</w:t>
            </w:r>
          </w:p>
        </w:tc>
      </w:tr>
      <w:tr w:rsidR="00167C3D" w:rsidRPr="0016235B" w14:paraId="19B52867" w14:textId="77777777" w:rsidTr="00451187">
        <w:tc>
          <w:tcPr>
            <w:tcW w:w="630" w:type="dxa"/>
          </w:tcPr>
          <w:p w14:paraId="019281EB" w14:textId="77777777" w:rsidR="00167C3D" w:rsidRPr="0016235B" w:rsidRDefault="00167C3D" w:rsidP="00451187">
            <w:pPr>
              <w:jc w:val="both"/>
              <w:rPr>
                <w:rFonts w:ascii="Candara" w:hAnsi="Candara"/>
              </w:rPr>
            </w:pPr>
            <w:r w:rsidRPr="0016235B">
              <w:rPr>
                <w:rFonts w:ascii="Candara" w:hAnsi="Candara"/>
              </w:rPr>
              <w:t>1.</w:t>
            </w:r>
          </w:p>
        </w:tc>
        <w:tc>
          <w:tcPr>
            <w:tcW w:w="2160" w:type="dxa"/>
          </w:tcPr>
          <w:p w14:paraId="6C8ED16F" w14:textId="77777777" w:rsidR="00167C3D" w:rsidRPr="0016235B" w:rsidRDefault="00167C3D" w:rsidP="00451187">
            <w:pPr>
              <w:spacing w:after="160" w:line="259" w:lineRule="auto"/>
              <w:jc w:val="both"/>
              <w:rPr>
                <w:rFonts w:ascii="Candara" w:hAnsi="Candara"/>
              </w:rPr>
            </w:pPr>
            <w:r w:rsidRPr="0016235B">
              <w:rPr>
                <w:rFonts w:ascii="Candara" w:hAnsi="Candara"/>
                <w:b/>
                <w:bCs/>
              </w:rPr>
              <w:t>RRH</w:t>
            </w:r>
          </w:p>
        </w:tc>
        <w:tc>
          <w:tcPr>
            <w:tcW w:w="1710" w:type="dxa"/>
          </w:tcPr>
          <w:p w14:paraId="3E0590F4" w14:textId="77777777" w:rsidR="00167C3D" w:rsidRPr="0016235B" w:rsidRDefault="00167C3D" w:rsidP="00451187">
            <w:pPr>
              <w:spacing w:after="160" w:line="259" w:lineRule="auto"/>
              <w:jc w:val="right"/>
              <w:rPr>
                <w:rFonts w:ascii="Candara" w:hAnsi="Candara"/>
              </w:rPr>
            </w:pPr>
            <w:r w:rsidRPr="0016235B">
              <w:rPr>
                <w:rFonts w:ascii="Candara" w:hAnsi="Candara"/>
              </w:rPr>
              <w:t>14</w:t>
            </w:r>
          </w:p>
        </w:tc>
        <w:tc>
          <w:tcPr>
            <w:tcW w:w="1800" w:type="dxa"/>
          </w:tcPr>
          <w:p w14:paraId="7696A8CB" w14:textId="77777777" w:rsidR="00167C3D" w:rsidRPr="0016235B" w:rsidRDefault="00167C3D" w:rsidP="00451187">
            <w:pPr>
              <w:spacing w:after="160" w:line="259" w:lineRule="auto"/>
              <w:jc w:val="right"/>
              <w:rPr>
                <w:rFonts w:ascii="Candara" w:hAnsi="Candara"/>
              </w:rPr>
            </w:pPr>
            <w:r w:rsidRPr="0016235B">
              <w:rPr>
                <w:rFonts w:ascii="Candara" w:hAnsi="Candara"/>
              </w:rPr>
              <w:t>14</w:t>
            </w:r>
          </w:p>
        </w:tc>
        <w:tc>
          <w:tcPr>
            <w:tcW w:w="1620" w:type="dxa"/>
          </w:tcPr>
          <w:p w14:paraId="0CD670E1" w14:textId="527609EF" w:rsidR="00167C3D" w:rsidRPr="0016235B" w:rsidRDefault="00167C3D" w:rsidP="00836C69">
            <w:pPr>
              <w:jc w:val="right"/>
              <w:rPr>
                <w:rFonts w:ascii="Candara" w:hAnsi="Candara"/>
              </w:rPr>
            </w:pPr>
            <w:r w:rsidRPr="0016235B">
              <w:rPr>
                <w:rFonts w:ascii="Candara" w:hAnsi="Candara"/>
              </w:rPr>
              <w:t>1</w:t>
            </w:r>
            <w:r w:rsidR="00836C69" w:rsidRPr="0016235B">
              <w:rPr>
                <w:rFonts w:ascii="Candara" w:hAnsi="Candara"/>
              </w:rPr>
              <w:t>1</w:t>
            </w:r>
          </w:p>
        </w:tc>
      </w:tr>
      <w:tr w:rsidR="00167C3D" w:rsidRPr="0016235B" w14:paraId="6A767BCD" w14:textId="77777777" w:rsidTr="00451187">
        <w:tc>
          <w:tcPr>
            <w:tcW w:w="630" w:type="dxa"/>
          </w:tcPr>
          <w:p w14:paraId="55DBC7E4" w14:textId="77777777" w:rsidR="00167C3D" w:rsidRPr="0016235B" w:rsidRDefault="00167C3D" w:rsidP="00451187">
            <w:pPr>
              <w:jc w:val="both"/>
              <w:rPr>
                <w:rFonts w:ascii="Candara" w:hAnsi="Candara"/>
              </w:rPr>
            </w:pPr>
            <w:r w:rsidRPr="0016235B">
              <w:rPr>
                <w:rFonts w:ascii="Candara" w:hAnsi="Candara"/>
              </w:rPr>
              <w:t>2.</w:t>
            </w:r>
          </w:p>
        </w:tc>
        <w:tc>
          <w:tcPr>
            <w:tcW w:w="2160" w:type="dxa"/>
          </w:tcPr>
          <w:p w14:paraId="6B9052D0" w14:textId="77777777" w:rsidR="00167C3D" w:rsidRPr="0016235B" w:rsidRDefault="00167C3D" w:rsidP="00451187">
            <w:pPr>
              <w:spacing w:after="160" w:line="259" w:lineRule="auto"/>
              <w:jc w:val="both"/>
              <w:rPr>
                <w:rFonts w:ascii="Candara" w:hAnsi="Candara"/>
              </w:rPr>
            </w:pPr>
            <w:r w:rsidRPr="0016235B">
              <w:rPr>
                <w:rFonts w:ascii="Candara" w:hAnsi="Candara"/>
                <w:b/>
                <w:bCs/>
              </w:rPr>
              <w:t>General Hospitals</w:t>
            </w:r>
          </w:p>
        </w:tc>
        <w:tc>
          <w:tcPr>
            <w:tcW w:w="1710" w:type="dxa"/>
          </w:tcPr>
          <w:p w14:paraId="1AC5DF5D" w14:textId="77777777" w:rsidR="00167C3D" w:rsidRPr="0016235B" w:rsidRDefault="00167C3D" w:rsidP="00451187">
            <w:pPr>
              <w:spacing w:after="160" w:line="259" w:lineRule="auto"/>
              <w:jc w:val="right"/>
              <w:rPr>
                <w:rFonts w:ascii="Candara" w:hAnsi="Candara"/>
              </w:rPr>
            </w:pPr>
            <w:r w:rsidRPr="0016235B">
              <w:rPr>
                <w:rFonts w:ascii="Candara" w:hAnsi="Candara"/>
              </w:rPr>
              <w:t>153</w:t>
            </w:r>
          </w:p>
        </w:tc>
        <w:tc>
          <w:tcPr>
            <w:tcW w:w="1800" w:type="dxa"/>
          </w:tcPr>
          <w:p w14:paraId="3416B88B" w14:textId="77777777" w:rsidR="00167C3D" w:rsidRPr="0016235B" w:rsidRDefault="00167C3D" w:rsidP="00451187">
            <w:pPr>
              <w:spacing w:after="160" w:line="259" w:lineRule="auto"/>
              <w:jc w:val="right"/>
              <w:rPr>
                <w:rFonts w:ascii="Candara" w:hAnsi="Candara"/>
              </w:rPr>
            </w:pPr>
            <w:r w:rsidRPr="0016235B">
              <w:rPr>
                <w:rFonts w:ascii="Candara" w:hAnsi="Candara"/>
              </w:rPr>
              <w:t>36</w:t>
            </w:r>
          </w:p>
        </w:tc>
        <w:tc>
          <w:tcPr>
            <w:tcW w:w="1620" w:type="dxa"/>
          </w:tcPr>
          <w:p w14:paraId="66B28A74" w14:textId="47853CC9" w:rsidR="00167C3D" w:rsidRPr="0016235B" w:rsidRDefault="00167C3D" w:rsidP="00083F57">
            <w:pPr>
              <w:jc w:val="right"/>
              <w:rPr>
                <w:rFonts w:ascii="Candara" w:hAnsi="Candara"/>
              </w:rPr>
            </w:pPr>
            <w:r w:rsidRPr="0016235B">
              <w:rPr>
                <w:rFonts w:ascii="Candara" w:hAnsi="Candara"/>
              </w:rPr>
              <w:t>2</w:t>
            </w:r>
            <w:r w:rsidR="00083F57" w:rsidRPr="0016235B">
              <w:rPr>
                <w:rFonts w:ascii="Candara" w:hAnsi="Candara"/>
              </w:rPr>
              <w:t>5</w:t>
            </w:r>
          </w:p>
        </w:tc>
      </w:tr>
      <w:tr w:rsidR="00167C3D" w:rsidRPr="0016235B" w14:paraId="6F67E33B" w14:textId="77777777" w:rsidTr="00451187">
        <w:tc>
          <w:tcPr>
            <w:tcW w:w="630" w:type="dxa"/>
          </w:tcPr>
          <w:p w14:paraId="5E784462" w14:textId="77777777" w:rsidR="00167C3D" w:rsidRPr="0016235B" w:rsidRDefault="00167C3D" w:rsidP="00451187">
            <w:pPr>
              <w:jc w:val="both"/>
              <w:rPr>
                <w:rFonts w:ascii="Candara" w:hAnsi="Candara"/>
              </w:rPr>
            </w:pPr>
            <w:r w:rsidRPr="0016235B">
              <w:rPr>
                <w:rFonts w:ascii="Candara" w:hAnsi="Candara"/>
              </w:rPr>
              <w:t>3.</w:t>
            </w:r>
          </w:p>
        </w:tc>
        <w:tc>
          <w:tcPr>
            <w:tcW w:w="2160" w:type="dxa"/>
          </w:tcPr>
          <w:p w14:paraId="46E4466F" w14:textId="77777777" w:rsidR="00167C3D" w:rsidRPr="0016235B" w:rsidRDefault="00167C3D" w:rsidP="00451187">
            <w:pPr>
              <w:spacing w:after="160" w:line="259" w:lineRule="auto"/>
              <w:jc w:val="both"/>
              <w:rPr>
                <w:rFonts w:ascii="Candara" w:hAnsi="Candara"/>
              </w:rPr>
            </w:pPr>
            <w:r w:rsidRPr="0016235B">
              <w:rPr>
                <w:rFonts w:ascii="Candara" w:hAnsi="Candara"/>
                <w:b/>
                <w:bCs/>
              </w:rPr>
              <w:t>HC IVs</w:t>
            </w:r>
          </w:p>
        </w:tc>
        <w:tc>
          <w:tcPr>
            <w:tcW w:w="1710" w:type="dxa"/>
          </w:tcPr>
          <w:p w14:paraId="3E6EDA34" w14:textId="77777777" w:rsidR="00167C3D" w:rsidRPr="0016235B" w:rsidRDefault="00167C3D" w:rsidP="00451187">
            <w:pPr>
              <w:spacing w:after="160" w:line="259" w:lineRule="auto"/>
              <w:jc w:val="right"/>
              <w:rPr>
                <w:rFonts w:ascii="Candara" w:hAnsi="Candara"/>
              </w:rPr>
            </w:pPr>
            <w:r w:rsidRPr="0016235B">
              <w:rPr>
                <w:rFonts w:ascii="Candara" w:hAnsi="Candara"/>
              </w:rPr>
              <w:t>215</w:t>
            </w:r>
          </w:p>
        </w:tc>
        <w:tc>
          <w:tcPr>
            <w:tcW w:w="1800" w:type="dxa"/>
          </w:tcPr>
          <w:p w14:paraId="3DB5DA7A" w14:textId="77777777" w:rsidR="00167C3D" w:rsidRPr="0016235B" w:rsidRDefault="00167C3D" w:rsidP="00451187">
            <w:pPr>
              <w:spacing w:after="160" w:line="259" w:lineRule="auto"/>
              <w:jc w:val="right"/>
              <w:rPr>
                <w:rFonts w:ascii="Candara" w:hAnsi="Candara"/>
              </w:rPr>
            </w:pPr>
            <w:r w:rsidRPr="0016235B">
              <w:rPr>
                <w:rFonts w:ascii="Candara" w:hAnsi="Candara"/>
              </w:rPr>
              <w:t>40</w:t>
            </w:r>
          </w:p>
        </w:tc>
        <w:tc>
          <w:tcPr>
            <w:tcW w:w="1620" w:type="dxa"/>
          </w:tcPr>
          <w:p w14:paraId="048B4F25" w14:textId="20F57AF4" w:rsidR="00167C3D" w:rsidRPr="0016235B" w:rsidRDefault="00167C3D" w:rsidP="00083F57">
            <w:pPr>
              <w:jc w:val="right"/>
              <w:rPr>
                <w:rFonts w:ascii="Candara" w:hAnsi="Candara"/>
              </w:rPr>
            </w:pPr>
            <w:r w:rsidRPr="0016235B">
              <w:rPr>
                <w:rFonts w:ascii="Candara" w:hAnsi="Candara"/>
              </w:rPr>
              <w:t>2</w:t>
            </w:r>
            <w:r w:rsidR="00083F57" w:rsidRPr="0016235B">
              <w:rPr>
                <w:rFonts w:ascii="Candara" w:hAnsi="Candara"/>
              </w:rPr>
              <w:t>6</w:t>
            </w:r>
          </w:p>
        </w:tc>
      </w:tr>
      <w:tr w:rsidR="00167C3D" w:rsidRPr="0016235B" w14:paraId="494A78F0" w14:textId="77777777" w:rsidTr="00451187">
        <w:tc>
          <w:tcPr>
            <w:tcW w:w="630" w:type="dxa"/>
          </w:tcPr>
          <w:p w14:paraId="7F852F63" w14:textId="77777777" w:rsidR="00167C3D" w:rsidRPr="0016235B" w:rsidRDefault="00167C3D" w:rsidP="00451187">
            <w:pPr>
              <w:jc w:val="both"/>
              <w:rPr>
                <w:rFonts w:ascii="Candara" w:hAnsi="Candara"/>
              </w:rPr>
            </w:pPr>
            <w:r w:rsidRPr="0016235B">
              <w:rPr>
                <w:rFonts w:ascii="Candara" w:hAnsi="Candara"/>
              </w:rPr>
              <w:t>4.</w:t>
            </w:r>
          </w:p>
        </w:tc>
        <w:tc>
          <w:tcPr>
            <w:tcW w:w="2160" w:type="dxa"/>
          </w:tcPr>
          <w:p w14:paraId="3377EAF7" w14:textId="77777777" w:rsidR="00167C3D" w:rsidRPr="0016235B" w:rsidRDefault="00167C3D" w:rsidP="00451187">
            <w:pPr>
              <w:spacing w:after="160" w:line="259" w:lineRule="auto"/>
              <w:jc w:val="both"/>
              <w:rPr>
                <w:rFonts w:ascii="Candara" w:hAnsi="Candara"/>
              </w:rPr>
            </w:pPr>
            <w:r w:rsidRPr="0016235B">
              <w:rPr>
                <w:rFonts w:ascii="Candara" w:hAnsi="Candara"/>
                <w:b/>
                <w:bCs/>
              </w:rPr>
              <w:t>HC IIIs</w:t>
            </w:r>
          </w:p>
        </w:tc>
        <w:tc>
          <w:tcPr>
            <w:tcW w:w="1710" w:type="dxa"/>
          </w:tcPr>
          <w:p w14:paraId="1A7DE544" w14:textId="77777777" w:rsidR="00167C3D" w:rsidRPr="0016235B" w:rsidRDefault="00167C3D" w:rsidP="00451187">
            <w:pPr>
              <w:spacing w:after="160" w:line="259" w:lineRule="auto"/>
              <w:jc w:val="right"/>
              <w:rPr>
                <w:rFonts w:ascii="Candara" w:hAnsi="Candara"/>
              </w:rPr>
            </w:pPr>
            <w:r w:rsidRPr="0016235B">
              <w:rPr>
                <w:rFonts w:ascii="Candara" w:hAnsi="Candara"/>
              </w:rPr>
              <w:t>1510</w:t>
            </w:r>
          </w:p>
        </w:tc>
        <w:tc>
          <w:tcPr>
            <w:tcW w:w="1800" w:type="dxa"/>
          </w:tcPr>
          <w:p w14:paraId="6AD12BE1" w14:textId="77777777" w:rsidR="00167C3D" w:rsidRPr="0016235B" w:rsidRDefault="00167C3D" w:rsidP="00451187">
            <w:pPr>
              <w:spacing w:after="160" w:line="259" w:lineRule="auto"/>
              <w:jc w:val="right"/>
              <w:rPr>
                <w:rFonts w:ascii="Candara" w:hAnsi="Candara"/>
              </w:rPr>
            </w:pPr>
            <w:r w:rsidRPr="0016235B">
              <w:rPr>
                <w:rFonts w:ascii="Candara" w:hAnsi="Candara"/>
              </w:rPr>
              <w:t>57</w:t>
            </w:r>
          </w:p>
        </w:tc>
        <w:tc>
          <w:tcPr>
            <w:tcW w:w="1620" w:type="dxa"/>
          </w:tcPr>
          <w:p w14:paraId="758D5032" w14:textId="7002D5DE" w:rsidR="00167C3D" w:rsidRPr="0016235B" w:rsidRDefault="00167C3D" w:rsidP="00083F57">
            <w:pPr>
              <w:jc w:val="right"/>
              <w:rPr>
                <w:rFonts w:ascii="Candara" w:hAnsi="Candara"/>
              </w:rPr>
            </w:pPr>
            <w:r w:rsidRPr="0016235B">
              <w:rPr>
                <w:rFonts w:ascii="Candara" w:hAnsi="Candara"/>
              </w:rPr>
              <w:t>4</w:t>
            </w:r>
            <w:r w:rsidR="00083F57" w:rsidRPr="0016235B">
              <w:rPr>
                <w:rFonts w:ascii="Candara" w:hAnsi="Candara"/>
              </w:rPr>
              <w:t>6</w:t>
            </w:r>
          </w:p>
        </w:tc>
      </w:tr>
      <w:tr w:rsidR="00167C3D" w:rsidRPr="0016235B" w14:paraId="0DD4FD2A" w14:textId="77777777" w:rsidTr="00451187">
        <w:tc>
          <w:tcPr>
            <w:tcW w:w="630" w:type="dxa"/>
          </w:tcPr>
          <w:p w14:paraId="490E62E2" w14:textId="77777777" w:rsidR="00167C3D" w:rsidRPr="0016235B" w:rsidRDefault="00167C3D" w:rsidP="00451187">
            <w:pPr>
              <w:jc w:val="both"/>
              <w:rPr>
                <w:rFonts w:ascii="Candara" w:hAnsi="Candara"/>
              </w:rPr>
            </w:pPr>
            <w:r w:rsidRPr="0016235B">
              <w:rPr>
                <w:rFonts w:ascii="Candara" w:hAnsi="Candara"/>
              </w:rPr>
              <w:t>5.</w:t>
            </w:r>
          </w:p>
        </w:tc>
        <w:tc>
          <w:tcPr>
            <w:tcW w:w="2160" w:type="dxa"/>
          </w:tcPr>
          <w:p w14:paraId="47F44DD2" w14:textId="77777777" w:rsidR="00167C3D" w:rsidRPr="0016235B" w:rsidRDefault="00167C3D" w:rsidP="00451187">
            <w:pPr>
              <w:spacing w:after="160" w:line="259" w:lineRule="auto"/>
              <w:jc w:val="both"/>
              <w:rPr>
                <w:rFonts w:ascii="Candara" w:hAnsi="Candara"/>
              </w:rPr>
            </w:pPr>
            <w:r w:rsidRPr="0016235B">
              <w:rPr>
                <w:rFonts w:ascii="Candara" w:hAnsi="Candara"/>
                <w:b/>
                <w:bCs/>
              </w:rPr>
              <w:t>HC IIs</w:t>
            </w:r>
          </w:p>
        </w:tc>
        <w:tc>
          <w:tcPr>
            <w:tcW w:w="1710" w:type="dxa"/>
          </w:tcPr>
          <w:p w14:paraId="025A4357" w14:textId="77777777" w:rsidR="00167C3D" w:rsidRPr="0016235B" w:rsidRDefault="00167C3D" w:rsidP="00451187">
            <w:pPr>
              <w:spacing w:after="160" w:line="259" w:lineRule="auto"/>
              <w:jc w:val="right"/>
              <w:rPr>
                <w:rFonts w:ascii="Candara" w:hAnsi="Candara"/>
              </w:rPr>
            </w:pPr>
            <w:r w:rsidRPr="0016235B">
              <w:rPr>
                <w:rFonts w:ascii="Candara" w:hAnsi="Candara"/>
              </w:rPr>
              <w:t>4208</w:t>
            </w:r>
          </w:p>
        </w:tc>
        <w:tc>
          <w:tcPr>
            <w:tcW w:w="1800" w:type="dxa"/>
          </w:tcPr>
          <w:p w14:paraId="5BD6101C" w14:textId="77777777" w:rsidR="00167C3D" w:rsidRPr="0016235B" w:rsidRDefault="00167C3D" w:rsidP="00451187">
            <w:pPr>
              <w:spacing w:after="160" w:line="259" w:lineRule="auto"/>
              <w:jc w:val="right"/>
              <w:rPr>
                <w:rFonts w:ascii="Candara" w:hAnsi="Candara"/>
              </w:rPr>
            </w:pPr>
            <w:r w:rsidRPr="0016235B">
              <w:rPr>
                <w:rFonts w:ascii="Candara" w:hAnsi="Candara"/>
              </w:rPr>
              <w:t>68</w:t>
            </w:r>
          </w:p>
        </w:tc>
        <w:tc>
          <w:tcPr>
            <w:tcW w:w="1620" w:type="dxa"/>
          </w:tcPr>
          <w:p w14:paraId="3E34E228" w14:textId="4A8370EA" w:rsidR="00167C3D" w:rsidRPr="0016235B" w:rsidRDefault="00167C3D" w:rsidP="00083F57">
            <w:pPr>
              <w:jc w:val="right"/>
              <w:rPr>
                <w:rFonts w:ascii="Candara" w:hAnsi="Candara"/>
              </w:rPr>
            </w:pPr>
            <w:r w:rsidRPr="0016235B">
              <w:rPr>
                <w:rFonts w:ascii="Candara" w:hAnsi="Candara"/>
              </w:rPr>
              <w:t>5</w:t>
            </w:r>
            <w:r w:rsidR="00083F57" w:rsidRPr="0016235B">
              <w:rPr>
                <w:rFonts w:ascii="Candara" w:hAnsi="Candara"/>
              </w:rPr>
              <w:t>8</w:t>
            </w:r>
          </w:p>
        </w:tc>
      </w:tr>
      <w:tr w:rsidR="00167C3D" w:rsidRPr="0016235B" w14:paraId="20F20F53" w14:textId="77777777" w:rsidTr="00451187">
        <w:tc>
          <w:tcPr>
            <w:tcW w:w="630" w:type="dxa"/>
          </w:tcPr>
          <w:p w14:paraId="5284A520" w14:textId="77777777" w:rsidR="00167C3D" w:rsidRPr="0016235B" w:rsidRDefault="00167C3D" w:rsidP="00451187">
            <w:pPr>
              <w:jc w:val="both"/>
              <w:rPr>
                <w:rFonts w:ascii="Candara" w:hAnsi="Candara"/>
              </w:rPr>
            </w:pPr>
          </w:p>
        </w:tc>
        <w:tc>
          <w:tcPr>
            <w:tcW w:w="2160" w:type="dxa"/>
          </w:tcPr>
          <w:p w14:paraId="45BF9D0F" w14:textId="77777777" w:rsidR="00167C3D" w:rsidRPr="0016235B" w:rsidRDefault="00167C3D" w:rsidP="00451187">
            <w:pPr>
              <w:spacing w:after="160" w:line="259" w:lineRule="auto"/>
              <w:jc w:val="both"/>
              <w:rPr>
                <w:rFonts w:ascii="Candara" w:hAnsi="Candara"/>
              </w:rPr>
            </w:pPr>
            <w:r w:rsidRPr="0016235B">
              <w:rPr>
                <w:rFonts w:ascii="Candara" w:hAnsi="Candara"/>
                <w:b/>
                <w:bCs/>
              </w:rPr>
              <w:t>Total</w:t>
            </w:r>
          </w:p>
        </w:tc>
        <w:tc>
          <w:tcPr>
            <w:tcW w:w="1710" w:type="dxa"/>
          </w:tcPr>
          <w:p w14:paraId="62F91985" w14:textId="77777777" w:rsidR="00167C3D" w:rsidRPr="0016235B" w:rsidRDefault="00167C3D" w:rsidP="00451187">
            <w:pPr>
              <w:spacing w:after="160" w:line="259" w:lineRule="auto"/>
              <w:jc w:val="right"/>
              <w:rPr>
                <w:rFonts w:ascii="Candara" w:hAnsi="Candara"/>
              </w:rPr>
            </w:pPr>
            <w:r w:rsidRPr="0016235B">
              <w:rPr>
                <w:rFonts w:ascii="Candara" w:hAnsi="Candara"/>
                <w:b/>
                <w:bCs/>
              </w:rPr>
              <w:t>6100</w:t>
            </w:r>
          </w:p>
        </w:tc>
        <w:tc>
          <w:tcPr>
            <w:tcW w:w="1800" w:type="dxa"/>
          </w:tcPr>
          <w:p w14:paraId="0954F1B0" w14:textId="77777777" w:rsidR="00167C3D" w:rsidRPr="0016235B" w:rsidRDefault="00167C3D" w:rsidP="00451187">
            <w:pPr>
              <w:spacing w:after="160" w:line="259" w:lineRule="auto"/>
              <w:jc w:val="right"/>
              <w:rPr>
                <w:rFonts w:ascii="Candara" w:hAnsi="Candara"/>
              </w:rPr>
            </w:pPr>
            <w:r w:rsidRPr="0016235B">
              <w:rPr>
                <w:rFonts w:ascii="Candara" w:hAnsi="Candara"/>
                <w:b/>
                <w:bCs/>
              </w:rPr>
              <w:t>215</w:t>
            </w:r>
          </w:p>
        </w:tc>
        <w:tc>
          <w:tcPr>
            <w:tcW w:w="1620" w:type="dxa"/>
          </w:tcPr>
          <w:p w14:paraId="1AC8B5C5" w14:textId="530E1424" w:rsidR="00167C3D" w:rsidRPr="0016235B" w:rsidRDefault="00167C3D" w:rsidP="00836C69">
            <w:pPr>
              <w:jc w:val="right"/>
              <w:rPr>
                <w:rFonts w:ascii="Candara" w:hAnsi="Candara"/>
                <w:b/>
                <w:bCs/>
              </w:rPr>
            </w:pPr>
            <w:r w:rsidRPr="0016235B">
              <w:rPr>
                <w:rFonts w:ascii="Candara" w:hAnsi="Candara"/>
                <w:b/>
                <w:bCs/>
              </w:rPr>
              <w:t>16</w:t>
            </w:r>
            <w:r w:rsidR="00836C69" w:rsidRPr="0016235B">
              <w:rPr>
                <w:rFonts w:ascii="Candara" w:hAnsi="Candara"/>
                <w:b/>
                <w:bCs/>
              </w:rPr>
              <w:t>6</w:t>
            </w:r>
          </w:p>
        </w:tc>
      </w:tr>
    </w:tbl>
    <w:p w14:paraId="2848127B" w14:textId="77777777" w:rsidR="005C79BE" w:rsidRPr="0016235B" w:rsidRDefault="005C79BE" w:rsidP="00167C3D">
      <w:pPr>
        <w:rPr>
          <w:rFonts w:ascii="Candara" w:hAnsi="Candara" w:cs="Times New Roman"/>
          <w:sz w:val="24"/>
          <w:szCs w:val="24"/>
        </w:rPr>
      </w:pPr>
    </w:p>
    <w:p w14:paraId="654A2CF4" w14:textId="77777777" w:rsidR="009C5BF8" w:rsidRPr="0016235B" w:rsidRDefault="009C5BF8">
      <w:pPr>
        <w:rPr>
          <w:rFonts w:ascii="Candara" w:hAnsi="Candara" w:cs="Times New Roman"/>
          <w:b/>
          <w:sz w:val="28"/>
          <w:szCs w:val="28"/>
        </w:rPr>
      </w:pPr>
      <w:r w:rsidRPr="0016235B">
        <w:rPr>
          <w:rFonts w:ascii="Candara" w:hAnsi="Candara" w:cs="Times New Roman"/>
          <w:b/>
          <w:sz w:val="28"/>
          <w:szCs w:val="28"/>
        </w:rPr>
        <w:br w:type="page"/>
      </w:r>
    </w:p>
    <w:p w14:paraId="6FF9D080" w14:textId="5B97B010" w:rsidR="005C79BE" w:rsidRPr="0016235B" w:rsidRDefault="005C79BE" w:rsidP="00167C3D">
      <w:pPr>
        <w:rPr>
          <w:rFonts w:ascii="Candara" w:hAnsi="Candara" w:cs="Times New Roman"/>
          <w:b/>
          <w:sz w:val="28"/>
          <w:szCs w:val="28"/>
        </w:rPr>
      </w:pPr>
      <w:r w:rsidRPr="0016235B">
        <w:rPr>
          <w:rFonts w:ascii="Candara" w:hAnsi="Candara" w:cs="Times New Roman"/>
          <w:b/>
          <w:sz w:val="28"/>
          <w:szCs w:val="28"/>
        </w:rPr>
        <w:lastRenderedPageBreak/>
        <w:t>Districts visited per Health region</w:t>
      </w:r>
    </w:p>
    <w:tbl>
      <w:tblPr>
        <w:tblStyle w:val="PlainTable2"/>
        <w:tblW w:w="7200" w:type="dxa"/>
        <w:tblLook w:val="04A0" w:firstRow="1" w:lastRow="0" w:firstColumn="1" w:lastColumn="0" w:noHBand="0" w:noVBand="1"/>
      </w:tblPr>
      <w:tblGrid>
        <w:gridCol w:w="3060"/>
        <w:gridCol w:w="4140"/>
      </w:tblGrid>
      <w:tr w:rsidR="005C79BE" w:rsidRPr="0016235B" w14:paraId="36ECD008" w14:textId="77777777" w:rsidTr="001A780E">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41ADD74C" w14:textId="5C8EEE1F" w:rsidR="005C79BE" w:rsidRPr="0016235B" w:rsidRDefault="00262732" w:rsidP="00CE2F33">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Health region</w:t>
            </w:r>
          </w:p>
        </w:tc>
        <w:tc>
          <w:tcPr>
            <w:tcW w:w="4140" w:type="dxa"/>
            <w:noWrap/>
            <w:hideMark/>
          </w:tcPr>
          <w:p w14:paraId="5F721718" w14:textId="5B32357D" w:rsidR="005C79BE" w:rsidRPr="0016235B" w:rsidRDefault="005C79BE" w:rsidP="00262732">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r>
      <w:tr w:rsidR="005C79BE" w:rsidRPr="0016235B" w14:paraId="7A786C9E" w14:textId="77777777" w:rsidTr="001A7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35F5945B" w14:textId="25CB9718" w:rsidR="005C79BE" w:rsidRPr="0016235B" w:rsidRDefault="005C79BE"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Central 1</w:t>
            </w:r>
          </w:p>
        </w:tc>
        <w:tc>
          <w:tcPr>
            <w:tcW w:w="4140" w:type="dxa"/>
            <w:noWrap/>
            <w:hideMark/>
          </w:tcPr>
          <w:p w14:paraId="77184E15" w14:textId="7195F485" w:rsidR="005C79BE" w:rsidRPr="0016235B" w:rsidRDefault="005C79BE" w:rsidP="00CE2F33">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Bukomansimbi, Wakiso, </w:t>
            </w:r>
            <w:proofErr w:type="spellStart"/>
            <w:r w:rsidRPr="0016235B">
              <w:rPr>
                <w:rFonts w:ascii="Candara" w:eastAsia="Times New Roman" w:hAnsi="Candara" w:cs="Times New Roman"/>
                <w:color w:val="000000"/>
                <w:sz w:val="24"/>
                <w:szCs w:val="24"/>
              </w:rPr>
              <w:t>Masaka</w:t>
            </w:r>
            <w:proofErr w:type="spellEnd"/>
            <w:r w:rsidRPr="0016235B">
              <w:rPr>
                <w:rFonts w:ascii="Candara" w:eastAsia="Times New Roman" w:hAnsi="Candara" w:cs="Times New Roman"/>
                <w:color w:val="000000"/>
                <w:sz w:val="24"/>
                <w:szCs w:val="24"/>
              </w:rPr>
              <w:t xml:space="preserve">* </w:t>
            </w:r>
          </w:p>
        </w:tc>
      </w:tr>
      <w:tr w:rsidR="005C79BE" w:rsidRPr="0016235B" w14:paraId="20629C73" w14:textId="77777777" w:rsidTr="001A780E">
        <w:trPr>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78EBE64D" w14:textId="45E1F161" w:rsidR="005C79BE" w:rsidRPr="0016235B" w:rsidRDefault="005C79BE"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Central 2</w:t>
            </w:r>
          </w:p>
        </w:tc>
        <w:tc>
          <w:tcPr>
            <w:tcW w:w="4140" w:type="dxa"/>
            <w:noWrap/>
            <w:hideMark/>
          </w:tcPr>
          <w:p w14:paraId="4A54558B" w14:textId="6400F1F1" w:rsidR="005C79BE" w:rsidRPr="0016235B" w:rsidRDefault="005C79BE" w:rsidP="00CE2F33">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Buikwe</w:t>
            </w:r>
            <w:proofErr w:type="spellEnd"/>
            <w:r w:rsidRPr="0016235B">
              <w:rPr>
                <w:rFonts w:ascii="Candara" w:eastAsia="Times New Roman" w:hAnsi="Candara" w:cs="Times New Roman"/>
                <w:color w:val="000000"/>
                <w:sz w:val="24"/>
                <w:szCs w:val="24"/>
              </w:rPr>
              <w:t xml:space="preserve">, </w:t>
            </w:r>
            <w:proofErr w:type="spellStart"/>
            <w:r w:rsidRPr="0016235B">
              <w:rPr>
                <w:rFonts w:ascii="Candara" w:eastAsia="Times New Roman" w:hAnsi="Candara" w:cs="Times New Roman"/>
                <w:color w:val="000000"/>
                <w:sz w:val="24"/>
                <w:szCs w:val="24"/>
              </w:rPr>
              <w:t>Mubende</w:t>
            </w:r>
            <w:proofErr w:type="spellEnd"/>
            <w:r w:rsidRPr="0016235B">
              <w:rPr>
                <w:rFonts w:ascii="Candara" w:eastAsia="Times New Roman" w:hAnsi="Candara" w:cs="Times New Roman"/>
                <w:color w:val="000000"/>
                <w:sz w:val="24"/>
                <w:szCs w:val="24"/>
              </w:rPr>
              <w:t>*</w:t>
            </w:r>
          </w:p>
        </w:tc>
      </w:tr>
      <w:tr w:rsidR="005C79BE" w:rsidRPr="0016235B" w14:paraId="662A3E79" w14:textId="77777777" w:rsidTr="001A7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0218B149" w14:textId="4972BCE2" w:rsidR="005C79BE" w:rsidRPr="0016235B" w:rsidRDefault="005C79BE"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Kampala</w:t>
            </w:r>
          </w:p>
        </w:tc>
        <w:tc>
          <w:tcPr>
            <w:tcW w:w="4140" w:type="dxa"/>
            <w:noWrap/>
            <w:hideMark/>
          </w:tcPr>
          <w:p w14:paraId="65220BC4" w14:textId="2CC695F3" w:rsidR="005C79BE" w:rsidRPr="0016235B" w:rsidRDefault="005C79BE" w:rsidP="00CE2F33">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r>
      <w:tr w:rsidR="005C79BE" w:rsidRPr="0016235B" w14:paraId="7C32FD48" w14:textId="77777777" w:rsidTr="001A780E">
        <w:trPr>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7DABA888" w14:textId="374F0BDC" w:rsidR="005C79BE" w:rsidRPr="0016235B" w:rsidRDefault="005C79BE"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Karamoja</w:t>
            </w:r>
          </w:p>
        </w:tc>
        <w:tc>
          <w:tcPr>
            <w:tcW w:w="4140" w:type="dxa"/>
            <w:noWrap/>
            <w:hideMark/>
          </w:tcPr>
          <w:p w14:paraId="27B8EB98" w14:textId="24126D21" w:rsidR="005C79BE" w:rsidRPr="0016235B" w:rsidRDefault="005C79BE" w:rsidP="00CE2F33">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Abim</w:t>
            </w:r>
            <w:proofErr w:type="spellEnd"/>
            <w:r w:rsidRPr="0016235B">
              <w:rPr>
                <w:rFonts w:ascii="Candara" w:eastAsia="Times New Roman" w:hAnsi="Candara" w:cs="Times New Roman"/>
                <w:color w:val="000000"/>
                <w:sz w:val="24"/>
                <w:szCs w:val="24"/>
              </w:rPr>
              <w:t xml:space="preserve">, </w:t>
            </w:r>
            <w:proofErr w:type="spellStart"/>
            <w:r w:rsidRPr="0016235B">
              <w:rPr>
                <w:rFonts w:ascii="Candara" w:eastAsia="Times New Roman" w:hAnsi="Candara" w:cs="Times New Roman"/>
                <w:color w:val="000000"/>
                <w:sz w:val="24"/>
                <w:szCs w:val="24"/>
              </w:rPr>
              <w:t>Napak</w:t>
            </w:r>
            <w:proofErr w:type="spellEnd"/>
            <w:r w:rsidRPr="0016235B">
              <w:rPr>
                <w:rFonts w:ascii="Candara" w:eastAsia="Times New Roman" w:hAnsi="Candara" w:cs="Times New Roman"/>
                <w:color w:val="000000"/>
                <w:sz w:val="24"/>
                <w:szCs w:val="24"/>
              </w:rPr>
              <w:t xml:space="preserve">, Moroto* </w:t>
            </w:r>
          </w:p>
        </w:tc>
      </w:tr>
      <w:tr w:rsidR="005C79BE" w:rsidRPr="0016235B" w14:paraId="7564AD2E" w14:textId="77777777" w:rsidTr="001A7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4B2BB5E8" w14:textId="247DD7ED" w:rsidR="005C79BE" w:rsidRPr="0016235B" w:rsidRDefault="005C79BE"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Mid-Eastern</w:t>
            </w:r>
          </w:p>
        </w:tc>
        <w:tc>
          <w:tcPr>
            <w:tcW w:w="4140" w:type="dxa"/>
            <w:noWrap/>
            <w:hideMark/>
          </w:tcPr>
          <w:p w14:paraId="61903C42" w14:textId="26977EE1" w:rsidR="005C79BE" w:rsidRPr="0016235B" w:rsidRDefault="007E6DAF" w:rsidP="00CE2F33">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Kween, Tororo</w:t>
            </w:r>
            <w:r w:rsidR="008C481E" w:rsidRPr="0016235B">
              <w:rPr>
                <w:rFonts w:ascii="Candara" w:eastAsia="Times New Roman" w:hAnsi="Candara" w:cs="Times New Roman"/>
                <w:color w:val="000000"/>
                <w:sz w:val="24"/>
                <w:szCs w:val="24"/>
              </w:rPr>
              <w:t xml:space="preserve">, </w:t>
            </w:r>
            <w:proofErr w:type="spellStart"/>
            <w:r w:rsidR="008C481E" w:rsidRPr="0016235B">
              <w:rPr>
                <w:rFonts w:ascii="Candara" w:eastAsia="Times New Roman" w:hAnsi="Candara" w:cs="Times New Roman"/>
                <w:color w:val="000000"/>
                <w:sz w:val="24"/>
                <w:szCs w:val="24"/>
              </w:rPr>
              <w:t>Mbale</w:t>
            </w:r>
            <w:proofErr w:type="spellEnd"/>
            <w:r w:rsidR="008C481E" w:rsidRPr="0016235B">
              <w:rPr>
                <w:rFonts w:ascii="Candara" w:eastAsia="Times New Roman" w:hAnsi="Candara" w:cs="Times New Roman"/>
                <w:color w:val="000000"/>
                <w:sz w:val="24"/>
                <w:szCs w:val="24"/>
              </w:rPr>
              <w:t>*</w:t>
            </w:r>
          </w:p>
        </w:tc>
      </w:tr>
      <w:tr w:rsidR="00262732" w:rsidRPr="0016235B" w14:paraId="3A95D36D" w14:textId="77777777" w:rsidTr="001A780E">
        <w:trPr>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3254AB8F" w14:textId="5139C9D1" w:rsidR="00262732" w:rsidRPr="0016235B" w:rsidRDefault="00262732"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Mid-Northern</w:t>
            </w:r>
          </w:p>
        </w:tc>
        <w:tc>
          <w:tcPr>
            <w:tcW w:w="4140" w:type="dxa"/>
            <w:noWrap/>
            <w:hideMark/>
          </w:tcPr>
          <w:p w14:paraId="24CBD422" w14:textId="24C9D9AF" w:rsidR="00262732" w:rsidRPr="0016235B" w:rsidRDefault="00262732" w:rsidP="00CE2F33">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Apac</w:t>
            </w:r>
            <w:proofErr w:type="spellEnd"/>
            <w:r w:rsidRPr="0016235B">
              <w:rPr>
                <w:rFonts w:ascii="Candara" w:eastAsia="Times New Roman" w:hAnsi="Candara" w:cs="Times New Roman"/>
                <w:color w:val="000000"/>
                <w:sz w:val="24"/>
                <w:szCs w:val="24"/>
              </w:rPr>
              <w:t xml:space="preserve">, </w:t>
            </w:r>
            <w:proofErr w:type="spellStart"/>
            <w:r w:rsidRPr="0016235B">
              <w:rPr>
                <w:rFonts w:ascii="Candara" w:eastAsia="Times New Roman" w:hAnsi="Candara" w:cs="Times New Roman"/>
                <w:color w:val="000000"/>
                <w:sz w:val="24"/>
                <w:szCs w:val="24"/>
              </w:rPr>
              <w:t>Nwoya</w:t>
            </w:r>
            <w:proofErr w:type="spellEnd"/>
            <w:r w:rsidRPr="0016235B">
              <w:rPr>
                <w:rFonts w:ascii="Candara" w:eastAsia="Times New Roman" w:hAnsi="Candara" w:cs="Times New Roman"/>
                <w:color w:val="000000"/>
                <w:sz w:val="24"/>
                <w:szCs w:val="24"/>
              </w:rPr>
              <w:t>, Lira*</w:t>
            </w:r>
            <w:r w:rsidR="007E6DAF" w:rsidRPr="0016235B">
              <w:rPr>
                <w:rFonts w:ascii="Candara" w:eastAsia="Times New Roman" w:hAnsi="Candara" w:cs="Times New Roman"/>
                <w:color w:val="000000"/>
                <w:sz w:val="24"/>
                <w:szCs w:val="24"/>
              </w:rPr>
              <w:t xml:space="preserve">, </w:t>
            </w:r>
            <w:proofErr w:type="spellStart"/>
            <w:r w:rsidR="007E6DAF" w:rsidRPr="0016235B">
              <w:rPr>
                <w:rFonts w:ascii="Candara" w:eastAsia="Times New Roman" w:hAnsi="Candara" w:cs="Times New Roman"/>
                <w:color w:val="000000"/>
                <w:sz w:val="24"/>
                <w:szCs w:val="24"/>
              </w:rPr>
              <w:t>Gulu</w:t>
            </w:r>
            <w:proofErr w:type="spellEnd"/>
            <w:r w:rsidR="007E6DAF" w:rsidRPr="0016235B">
              <w:rPr>
                <w:rFonts w:ascii="Candara" w:eastAsia="Times New Roman" w:hAnsi="Candara" w:cs="Times New Roman"/>
                <w:color w:val="000000"/>
                <w:sz w:val="24"/>
                <w:szCs w:val="24"/>
              </w:rPr>
              <w:t>*</w:t>
            </w:r>
          </w:p>
        </w:tc>
      </w:tr>
      <w:tr w:rsidR="00262732" w:rsidRPr="0016235B" w14:paraId="3DE9A87D" w14:textId="77777777" w:rsidTr="001A7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20DCC37B" w14:textId="1C3765CB" w:rsidR="00262732" w:rsidRPr="0016235B" w:rsidRDefault="00262732"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Mid-West</w:t>
            </w:r>
          </w:p>
        </w:tc>
        <w:tc>
          <w:tcPr>
            <w:tcW w:w="4140" w:type="dxa"/>
            <w:noWrap/>
            <w:hideMark/>
          </w:tcPr>
          <w:p w14:paraId="5F82F479" w14:textId="749C2DD7" w:rsidR="00262732" w:rsidRPr="0016235B" w:rsidRDefault="00262732" w:rsidP="00CE2F33">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Kyenjojo</w:t>
            </w:r>
            <w:proofErr w:type="spellEnd"/>
            <w:r w:rsidRPr="0016235B">
              <w:rPr>
                <w:rFonts w:ascii="Candara" w:eastAsia="Times New Roman" w:hAnsi="Candara" w:cs="Times New Roman"/>
                <w:color w:val="000000"/>
                <w:sz w:val="24"/>
                <w:szCs w:val="24"/>
              </w:rPr>
              <w:t>, Kabarole*</w:t>
            </w:r>
            <w:r w:rsidR="008C481E" w:rsidRPr="0016235B">
              <w:rPr>
                <w:rFonts w:ascii="Candara" w:eastAsia="Times New Roman" w:hAnsi="Candara" w:cs="Times New Roman"/>
                <w:color w:val="000000"/>
                <w:sz w:val="24"/>
                <w:szCs w:val="24"/>
              </w:rPr>
              <w:t>, Hoima*</w:t>
            </w:r>
          </w:p>
        </w:tc>
      </w:tr>
      <w:tr w:rsidR="00262732" w:rsidRPr="0016235B" w14:paraId="2BBC6F0D" w14:textId="77777777" w:rsidTr="001A780E">
        <w:trPr>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47F197C7" w14:textId="568675D6" w:rsidR="00262732" w:rsidRPr="0016235B" w:rsidRDefault="00262732"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North-East</w:t>
            </w:r>
          </w:p>
        </w:tc>
        <w:tc>
          <w:tcPr>
            <w:tcW w:w="4140" w:type="dxa"/>
            <w:noWrap/>
            <w:hideMark/>
          </w:tcPr>
          <w:p w14:paraId="544D121B" w14:textId="016F5928" w:rsidR="00262732" w:rsidRPr="0016235B" w:rsidRDefault="00262732" w:rsidP="00CE2F33">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Amuria</w:t>
            </w:r>
            <w:proofErr w:type="spellEnd"/>
            <w:r w:rsidRPr="0016235B">
              <w:rPr>
                <w:rFonts w:ascii="Candara" w:eastAsia="Times New Roman" w:hAnsi="Candara" w:cs="Times New Roman"/>
                <w:color w:val="000000"/>
                <w:sz w:val="24"/>
                <w:szCs w:val="24"/>
              </w:rPr>
              <w:t xml:space="preserve">, </w:t>
            </w:r>
            <w:proofErr w:type="spellStart"/>
            <w:r w:rsidRPr="0016235B">
              <w:rPr>
                <w:rFonts w:ascii="Candara" w:eastAsia="Times New Roman" w:hAnsi="Candara" w:cs="Times New Roman"/>
                <w:color w:val="000000"/>
                <w:sz w:val="24"/>
                <w:szCs w:val="24"/>
              </w:rPr>
              <w:t>Bukedea</w:t>
            </w:r>
            <w:proofErr w:type="spellEnd"/>
            <w:r w:rsidRPr="0016235B">
              <w:rPr>
                <w:rFonts w:ascii="Candara" w:eastAsia="Times New Roman" w:hAnsi="Candara" w:cs="Times New Roman"/>
                <w:color w:val="000000"/>
                <w:sz w:val="24"/>
                <w:szCs w:val="24"/>
              </w:rPr>
              <w:t>, Soroti*</w:t>
            </w:r>
          </w:p>
        </w:tc>
      </w:tr>
      <w:tr w:rsidR="00262732" w:rsidRPr="0016235B" w14:paraId="01E77F41" w14:textId="77777777" w:rsidTr="001A7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60" w:type="dxa"/>
            <w:noWrap/>
          </w:tcPr>
          <w:p w14:paraId="7A500F67" w14:textId="16CACB58" w:rsidR="00262732" w:rsidRPr="0016235B" w:rsidRDefault="00262732" w:rsidP="00262732">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South-west</w:t>
            </w:r>
          </w:p>
        </w:tc>
        <w:tc>
          <w:tcPr>
            <w:tcW w:w="4140" w:type="dxa"/>
            <w:noWrap/>
          </w:tcPr>
          <w:p w14:paraId="6C6BE2C5" w14:textId="7AE43488" w:rsidR="00262732" w:rsidRPr="0016235B" w:rsidRDefault="00262732" w:rsidP="00CE2F33">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Buhweju</w:t>
            </w:r>
            <w:proofErr w:type="spellEnd"/>
            <w:r w:rsidRPr="0016235B">
              <w:rPr>
                <w:rFonts w:ascii="Candara" w:eastAsia="Times New Roman" w:hAnsi="Candara" w:cs="Times New Roman"/>
                <w:color w:val="000000"/>
                <w:sz w:val="24"/>
                <w:szCs w:val="24"/>
              </w:rPr>
              <w:t xml:space="preserve">, </w:t>
            </w:r>
            <w:proofErr w:type="spellStart"/>
            <w:r w:rsidRPr="0016235B">
              <w:rPr>
                <w:rFonts w:ascii="Candara" w:eastAsia="Times New Roman" w:hAnsi="Candara" w:cs="Times New Roman"/>
                <w:color w:val="000000"/>
                <w:sz w:val="24"/>
                <w:szCs w:val="24"/>
              </w:rPr>
              <w:t>Kabale</w:t>
            </w:r>
            <w:proofErr w:type="spellEnd"/>
            <w:r w:rsidRPr="0016235B">
              <w:rPr>
                <w:rFonts w:ascii="Candara" w:eastAsia="Times New Roman" w:hAnsi="Candara" w:cs="Times New Roman"/>
                <w:color w:val="000000"/>
                <w:sz w:val="24"/>
                <w:szCs w:val="24"/>
              </w:rPr>
              <w:t>*, Mbarara*</w:t>
            </w:r>
          </w:p>
        </w:tc>
      </w:tr>
      <w:tr w:rsidR="00262732" w:rsidRPr="0016235B" w14:paraId="48D36424" w14:textId="77777777" w:rsidTr="001A780E">
        <w:trPr>
          <w:trHeight w:val="30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76FD0602" w14:textId="30044EEF" w:rsidR="00262732" w:rsidRPr="0016235B" w:rsidRDefault="00262732" w:rsidP="00CE2F33">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West-Nile</w:t>
            </w:r>
          </w:p>
        </w:tc>
        <w:tc>
          <w:tcPr>
            <w:tcW w:w="4140" w:type="dxa"/>
            <w:noWrap/>
            <w:hideMark/>
          </w:tcPr>
          <w:p w14:paraId="1B84984C" w14:textId="3D499CE8" w:rsidR="00262732" w:rsidRPr="0016235B" w:rsidRDefault="00262732" w:rsidP="00CE2F33">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Packwach</w:t>
            </w:r>
            <w:proofErr w:type="spellEnd"/>
            <w:r w:rsidRPr="0016235B">
              <w:rPr>
                <w:rFonts w:ascii="Candara" w:eastAsia="Times New Roman" w:hAnsi="Candara" w:cs="Times New Roman"/>
                <w:color w:val="000000"/>
                <w:sz w:val="24"/>
                <w:szCs w:val="24"/>
              </w:rPr>
              <w:t xml:space="preserve">, </w:t>
            </w:r>
            <w:proofErr w:type="spellStart"/>
            <w:r w:rsidRPr="0016235B">
              <w:rPr>
                <w:rFonts w:ascii="Candara" w:eastAsia="Times New Roman" w:hAnsi="Candara" w:cs="Times New Roman"/>
                <w:color w:val="000000"/>
                <w:sz w:val="24"/>
                <w:szCs w:val="24"/>
              </w:rPr>
              <w:t>Arua</w:t>
            </w:r>
            <w:proofErr w:type="spellEnd"/>
            <w:r w:rsidRPr="0016235B">
              <w:rPr>
                <w:rFonts w:ascii="Candara" w:eastAsia="Times New Roman" w:hAnsi="Candara" w:cs="Times New Roman"/>
                <w:color w:val="000000"/>
                <w:sz w:val="24"/>
                <w:szCs w:val="24"/>
              </w:rPr>
              <w:t>*</w:t>
            </w:r>
          </w:p>
        </w:tc>
      </w:tr>
    </w:tbl>
    <w:p w14:paraId="5DC09F58" w14:textId="622FA226" w:rsidR="005C79BE" w:rsidRPr="0016235B" w:rsidRDefault="00262732" w:rsidP="00262732">
      <w:pPr>
        <w:rPr>
          <w:rFonts w:ascii="Candara" w:hAnsi="Candara" w:cs="Times New Roman"/>
          <w:sz w:val="24"/>
          <w:szCs w:val="24"/>
        </w:rPr>
      </w:pPr>
      <w:r w:rsidRPr="0016235B">
        <w:rPr>
          <w:rFonts w:ascii="Candara" w:hAnsi="Candara" w:cs="Times New Roman"/>
          <w:b/>
          <w:sz w:val="28"/>
          <w:szCs w:val="28"/>
        </w:rPr>
        <w:t>*</w:t>
      </w:r>
      <w:r w:rsidRPr="0016235B">
        <w:rPr>
          <w:rFonts w:ascii="Candara" w:hAnsi="Candara" w:cs="Times New Roman"/>
          <w:sz w:val="24"/>
          <w:szCs w:val="24"/>
        </w:rPr>
        <w:t xml:space="preserve"> District with Regional Referral Hospital</w:t>
      </w:r>
    </w:p>
    <w:p w14:paraId="4C1536A3" w14:textId="77777777" w:rsidR="00262732" w:rsidRPr="0016235B" w:rsidRDefault="00262732" w:rsidP="00167C3D">
      <w:pPr>
        <w:rPr>
          <w:rFonts w:ascii="Candara" w:hAnsi="Candara" w:cs="Times New Roman"/>
          <w:sz w:val="24"/>
          <w:szCs w:val="24"/>
        </w:rPr>
      </w:pPr>
    </w:p>
    <w:p w14:paraId="5005D93A" w14:textId="77777777" w:rsidR="00167C3D" w:rsidRPr="0016235B" w:rsidRDefault="00167C3D" w:rsidP="005722F2">
      <w:pPr>
        <w:pStyle w:val="Heading2"/>
        <w:numPr>
          <w:ilvl w:val="1"/>
          <w:numId w:val="25"/>
        </w:numPr>
        <w:rPr>
          <w:rFonts w:ascii="Candara" w:hAnsi="Candara"/>
          <w:b/>
          <w:sz w:val="28"/>
          <w:szCs w:val="28"/>
        </w:rPr>
      </w:pPr>
      <w:bookmarkStart w:id="11" w:name="_Toc11494024"/>
      <w:r w:rsidRPr="0016235B">
        <w:rPr>
          <w:rFonts w:ascii="Candara" w:hAnsi="Candara"/>
          <w:b/>
          <w:sz w:val="28"/>
          <w:szCs w:val="28"/>
        </w:rPr>
        <w:t>Data collection tools</w:t>
      </w:r>
      <w:bookmarkEnd w:id="11"/>
    </w:p>
    <w:p w14:paraId="0B6B6515" w14:textId="5D6ED72A" w:rsidR="00167C3D" w:rsidRPr="0016235B" w:rsidRDefault="003904A4" w:rsidP="00377AFE">
      <w:pPr>
        <w:jc w:val="both"/>
        <w:rPr>
          <w:rFonts w:ascii="Candara" w:eastAsia="MS Mincho" w:hAnsi="Candara"/>
          <w:sz w:val="24"/>
          <w:szCs w:val="24"/>
        </w:rPr>
      </w:pPr>
      <w:r w:rsidRPr="0016235B">
        <w:rPr>
          <w:rFonts w:ascii="Candara" w:eastAsia="MS Mincho" w:hAnsi="Candara"/>
          <w:sz w:val="24"/>
          <w:szCs w:val="24"/>
        </w:rPr>
        <w:t xml:space="preserve">The Ministry of Health convened a meeting with subject matter experts to review the WHO SARA/DQR Generic tools </w:t>
      </w:r>
      <w:r w:rsidR="002B2429" w:rsidRPr="0016235B">
        <w:rPr>
          <w:rFonts w:ascii="Candara" w:eastAsia="MS Mincho" w:hAnsi="Candara"/>
          <w:sz w:val="24"/>
          <w:szCs w:val="24"/>
        </w:rPr>
        <w:t>to</w:t>
      </w:r>
      <w:r w:rsidRPr="0016235B">
        <w:rPr>
          <w:rFonts w:ascii="Candara" w:eastAsia="MS Mincho" w:hAnsi="Candara"/>
          <w:sz w:val="24"/>
          <w:szCs w:val="24"/>
        </w:rPr>
        <w:t xml:space="preserve"> align them to the Uganda context. These were r</w:t>
      </w:r>
      <w:r w:rsidR="00167C3D" w:rsidRPr="0016235B">
        <w:rPr>
          <w:rFonts w:ascii="Candara" w:eastAsia="MS Mincho" w:hAnsi="Candara"/>
          <w:sz w:val="24"/>
          <w:szCs w:val="24"/>
        </w:rPr>
        <w:t xml:space="preserve">eviewed </w:t>
      </w:r>
      <w:r w:rsidRPr="0016235B">
        <w:rPr>
          <w:rFonts w:ascii="Candara" w:eastAsia="MS Mincho" w:hAnsi="Candara"/>
          <w:sz w:val="24"/>
          <w:szCs w:val="24"/>
        </w:rPr>
        <w:t xml:space="preserve">alongside </w:t>
      </w:r>
      <w:r w:rsidR="00167C3D" w:rsidRPr="0016235B">
        <w:rPr>
          <w:rFonts w:ascii="Candara" w:eastAsia="MS Mincho" w:hAnsi="Candara"/>
          <w:sz w:val="24"/>
          <w:szCs w:val="24"/>
        </w:rPr>
        <w:t xml:space="preserve">previously adapted SARA/DQR </w:t>
      </w:r>
      <w:r w:rsidR="00D91202" w:rsidRPr="0016235B">
        <w:rPr>
          <w:rFonts w:ascii="Candara" w:eastAsia="MS Mincho" w:hAnsi="Candara"/>
          <w:sz w:val="24"/>
          <w:szCs w:val="24"/>
        </w:rPr>
        <w:t>tools</w:t>
      </w:r>
      <w:r w:rsidR="00167C3D" w:rsidRPr="0016235B">
        <w:rPr>
          <w:rFonts w:ascii="Candara" w:eastAsia="MS Mincho" w:hAnsi="Candara"/>
          <w:sz w:val="24"/>
          <w:szCs w:val="24"/>
        </w:rPr>
        <w:t xml:space="preserve"> for appropriateness. </w:t>
      </w:r>
    </w:p>
    <w:p w14:paraId="32119665" w14:textId="26F24E12" w:rsidR="00167C3D" w:rsidRPr="0016235B" w:rsidRDefault="00167C3D" w:rsidP="005722F2">
      <w:pPr>
        <w:pStyle w:val="Heading2"/>
        <w:numPr>
          <w:ilvl w:val="1"/>
          <w:numId w:val="25"/>
        </w:numPr>
        <w:rPr>
          <w:rFonts w:ascii="Candara" w:hAnsi="Candara"/>
          <w:b/>
          <w:sz w:val="28"/>
          <w:szCs w:val="28"/>
        </w:rPr>
      </w:pPr>
      <w:bookmarkStart w:id="12" w:name="_Toc11494025"/>
      <w:r w:rsidRPr="0016235B">
        <w:rPr>
          <w:rFonts w:ascii="Candara" w:hAnsi="Candara"/>
          <w:b/>
          <w:sz w:val="28"/>
          <w:szCs w:val="28"/>
        </w:rPr>
        <w:t>Recruitment and training of the supervisors and data collectors for the HFA/DQR</w:t>
      </w:r>
      <w:bookmarkEnd w:id="12"/>
    </w:p>
    <w:p w14:paraId="67C36A45" w14:textId="7C89A3A4" w:rsidR="00167C3D" w:rsidRPr="0016235B" w:rsidRDefault="00E657AF" w:rsidP="004402E3">
      <w:pPr>
        <w:jc w:val="both"/>
        <w:rPr>
          <w:rFonts w:ascii="Candara" w:eastAsia="MS Mincho" w:hAnsi="Candara"/>
          <w:sz w:val="24"/>
          <w:szCs w:val="24"/>
        </w:rPr>
      </w:pPr>
      <w:r w:rsidRPr="0016235B">
        <w:rPr>
          <w:rFonts w:ascii="Candara" w:eastAsia="MS Mincho" w:hAnsi="Candara"/>
          <w:sz w:val="24"/>
          <w:szCs w:val="24"/>
        </w:rPr>
        <w:t xml:space="preserve">Selection of data collectors </w:t>
      </w:r>
      <w:r w:rsidR="00167C3D" w:rsidRPr="0016235B">
        <w:rPr>
          <w:rFonts w:ascii="Candara" w:eastAsia="MS Mincho" w:hAnsi="Candara"/>
          <w:sz w:val="24"/>
          <w:szCs w:val="24"/>
        </w:rPr>
        <w:t xml:space="preserve">was done by selecting qualified health workers and biostatisticians working in the national health system and had committed time to do this work. A three days training was conducted for the Data collectors and supervisors. These participated in the pretesting </w:t>
      </w:r>
      <w:r w:rsidR="004402E3" w:rsidRPr="0016235B">
        <w:rPr>
          <w:rFonts w:ascii="Candara" w:eastAsia="MS Mincho" w:hAnsi="Candara"/>
          <w:sz w:val="24"/>
          <w:szCs w:val="24"/>
        </w:rPr>
        <w:t xml:space="preserve">of </w:t>
      </w:r>
      <w:r w:rsidR="00167C3D" w:rsidRPr="0016235B">
        <w:rPr>
          <w:rFonts w:ascii="Candara" w:eastAsia="MS Mincho" w:hAnsi="Candara"/>
          <w:sz w:val="24"/>
          <w:szCs w:val="24"/>
        </w:rPr>
        <w:t xml:space="preserve">the adapted tools. The tools were pretested for appropriateness and validity. </w:t>
      </w:r>
      <w:r w:rsidR="004402E3" w:rsidRPr="0016235B">
        <w:rPr>
          <w:rFonts w:ascii="Candara" w:eastAsia="MS Mincho" w:hAnsi="Candara"/>
          <w:sz w:val="24"/>
          <w:szCs w:val="24"/>
        </w:rPr>
        <w:t>The tools were then f</w:t>
      </w:r>
      <w:r w:rsidR="00167C3D" w:rsidRPr="0016235B">
        <w:rPr>
          <w:rFonts w:ascii="Candara" w:eastAsia="MS Mincho" w:hAnsi="Candara"/>
          <w:sz w:val="24"/>
          <w:szCs w:val="24"/>
        </w:rPr>
        <w:t xml:space="preserve">inalized based on field testing experiences. </w:t>
      </w:r>
    </w:p>
    <w:p w14:paraId="4ED0C124" w14:textId="64312504" w:rsidR="00167C3D" w:rsidRPr="0016235B" w:rsidRDefault="00167C3D" w:rsidP="005722F2">
      <w:pPr>
        <w:pStyle w:val="Heading2"/>
        <w:numPr>
          <w:ilvl w:val="1"/>
          <w:numId w:val="25"/>
        </w:numPr>
        <w:rPr>
          <w:rFonts w:ascii="Candara" w:hAnsi="Candara"/>
          <w:b/>
          <w:sz w:val="28"/>
          <w:szCs w:val="28"/>
        </w:rPr>
      </w:pPr>
      <w:bookmarkStart w:id="13" w:name="_Toc11494026"/>
      <w:r w:rsidRPr="0016235B">
        <w:rPr>
          <w:rFonts w:ascii="Candara" w:hAnsi="Candara"/>
          <w:b/>
          <w:sz w:val="28"/>
          <w:szCs w:val="28"/>
        </w:rPr>
        <w:t>Imp</w:t>
      </w:r>
      <w:r w:rsidR="00DB20B3" w:rsidRPr="0016235B">
        <w:rPr>
          <w:rFonts w:ascii="Candara" w:hAnsi="Candara"/>
          <w:b/>
          <w:sz w:val="28"/>
          <w:szCs w:val="28"/>
        </w:rPr>
        <w:t>lementation of the field survey</w:t>
      </w:r>
      <w:bookmarkEnd w:id="13"/>
    </w:p>
    <w:p w14:paraId="398E6762" w14:textId="62F6AEF5" w:rsidR="00167C3D" w:rsidRPr="0016235B" w:rsidRDefault="00167C3D" w:rsidP="00D15A13">
      <w:pPr>
        <w:jc w:val="both"/>
        <w:rPr>
          <w:rFonts w:ascii="Candara" w:eastAsia="MS Mincho" w:hAnsi="Candara"/>
          <w:sz w:val="24"/>
          <w:szCs w:val="24"/>
        </w:rPr>
      </w:pPr>
      <w:r w:rsidRPr="0016235B">
        <w:rPr>
          <w:rFonts w:ascii="Candara" w:eastAsia="MS Mincho" w:hAnsi="Candara"/>
          <w:sz w:val="24"/>
          <w:szCs w:val="24"/>
        </w:rPr>
        <w:t>Letters from the Office of the Permanent Secretary for the Ministry of Health Uganda were sent to the district technical leaders (CAOs and DHOs) to introduce the teams that were conducting the assessment. Teams compris</w:t>
      </w:r>
      <w:r w:rsidR="00063AF6" w:rsidRPr="0016235B">
        <w:rPr>
          <w:rFonts w:ascii="Candara" w:eastAsia="MS Mincho" w:hAnsi="Candara"/>
          <w:sz w:val="24"/>
          <w:szCs w:val="24"/>
        </w:rPr>
        <w:t>ing</w:t>
      </w:r>
      <w:r w:rsidRPr="0016235B">
        <w:rPr>
          <w:rFonts w:ascii="Candara" w:eastAsia="MS Mincho" w:hAnsi="Candara"/>
          <w:sz w:val="24"/>
          <w:szCs w:val="24"/>
        </w:rPr>
        <w:t xml:space="preserve"> of clinicians</w:t>
      </w:r>
      <w:r w:rsidR="00063AF6" w:rsidRPr="0016235B">
        <w:rPr>
          <w:rFonts w:ascii="Candara" w:eastAsia="MS Mincho" w:hAnsi="Candara"/>
          <w:sz w:val="24"/>
          <w:szCs w:val="24"/>
        </w:rPr>
        <w:t>, nurses, midwives</w:t>
      </w:r>
      <w:r w:rsidRPr="0016235B">
        <w:rPr>
          <w:rFonts w:ascii="Candara" w:eastAsia="MS Mincho" w:hAnsi="Candara"/>
          <w:sz w:val="24"/>
          <w:szCs w:val="24"/>
        </w:rPr>
        <w:t xml:space="preserve"> and biostatisticians were dispatched to the assigned districts to conduct the assessment</w:t>
      </w:r>
      <w:r w:rsidR="00063AF6" w:rsidRPr="0016235B">
        <w:rPr>
          <w:rFonts w:ascii="Candara" w:eastAsia="MS Mincho" w:hAnsi="Candara"/>
          <w:sz w:val="24"/>
          <w:szCs w:val="24"/>
        </w:rPr>
        <w:t xml:space="preserve"> in January 2018</w:t>
      </w:r>
      <w:r w:rsidRPr="0016235B">
        <w:rPr>
          <w:rFonts w:ascii="Candara" w:eastAsia="MS Mincho" w:hAnsi="Candara"/>
          <w:sz w:val="24"/>
          <w:szCs w:val="24"/>
        </w:rPr>
        <w:t xml:space="preserve">. Each team paid a courtesy visit to the district leadership and was given a copy of the introductory letter to introduce themselves before proceeding to the sampled facilities in the district. </w:t>
      </w:r>
    </w:p>
    <w:p w14:paraId="2720E442" w14:textId="77777777" w:rsidR="00167C3D" w:rsidRPr="0016235B" w:rsidRDefault="00167C3D" w:rsidP="005722F2">
      <w:pPr>
        <w:pStyle w:val="Heading2"/>
        <w:numPr>
          <w:ilvl w:val="1"/>
          <w:numId w:val="25"/>
        </w:numPr>
        <w:rPr>
          <w:rFonts w:ascii="Candara" w:hAnsi="Candara"/>
          <w:b/>
          <w:sz w:val="28"/>
          <w:szCs w:val="28"/>
        </w:rPr>
      </w:pPr>
      <w:bookmarkStart w:id="14" w:name="_Toc11494027"/>
      <w:r w:rsidRPr="0016235B">
        <w:rPr>
          <w:rFonts w:ascii="Candara" w:hAnsi="Candara"/>
          <w:b/>
          <w:sz w:val="28"/>
          <w:szCs w:val="28"/>
        </w:rPr>
        <w:t>Date collection and entry</w:t>
      </w:r>
      <w:bookmarkEnd w:id="14"/>
    </w:p>
    <w:p w14:paraId="33E180A8" w14:textId="00414B31" w:rsidR="00167C3D" w:rsidRPr="0016235B" w:rsidRDefault="00167C3D" w:rsidP="004E40B2">
      <w:pPr>
        <w:jc w:val="both"/>
        <w:rPr>
          <w:rFonts w:ascii="Candara" w:eastAsia="MS Mincho" w:hAnsi="Candara"/>
          <w:sz w:val="24"/>
          <w:szCs w:val="24"/>
        </w:rPr>
      </w:pPr>
      <w:r w:rsidRPr="0016235B">
        <w:rPr>
          <w:rFonts w:ascii="Candara" w:eastAsia="MS Mincho" w:hAnsi="Candara"/>
          <w:sz w:val="24"/>
          <w:szCs w:val="24"/>
        </w:rPr>
        <w:t xml:space="preserve">Adaptation of the electronic data collection tools was not </w:t>
      </w:r>
      <w:r w:rsidR="004E40B2" w:rsidRPr="0016235B">
        <w:rPr>
          <w:rFonts w:ascii="Candara" w:eastAsia="MS Mincho" w:hAnsi="Candara"/>
          <w:sz w:val="24"/>
          <w:szCs w:val="24"/>
        </w:rPr>
        <w:t>finalized in time</w:t>
      </w:r>
      <w:r w:rsidRPr="0016235B">
        <w:rPr>
          <w:rFonts w:ascii="Candara" w:eastAsia="MS Mincho" w:hAnsi="Candara"/>
          <w:sz w:val="24"/>
          <w:szCs w:val="24"/>
        </w:rPr>
        <w:t xml:space="preserve"> </w:t>
      </w:r>
      <w:r w:rsidR="00B81F76" w:rsidRPr="0016235B">
        <w:rPr>
          <w:rFonts w:ascii="Candara" w:eastAsia="MS Mincho" w:hAnsi="Candara"/>
          <w:sz w:val="24"/>
          <w:szCs w:val="24"/>
        </w:rPr>
        <w:t xml:space="preserve">for the main exercise </w:t>
      </w:r>
      <w:r w:rsidRPr="0016235B">
        <w:rPr>
          <w:rFonts w:ascii="Candara" w:eastAsia="MS Mincho" w:hAnsi="Candara"/>
          <w:sz w:val="24"/>
          <w:szCs w:val="24"/>
        </w:rPr>
        <w:t xml:space="preserve">and therefore </w:t>
      </w:r>
      <w:r w:rsidR="002B2429" w:rsidRPr="0016235B">
        <w:rPr>
          <w:rFonts w:ascii="Candara" w:eastAsia="MS Mincho" w:hAnsi="Candara"/>
          <w:sz w:val="24"/>
          <w:szCs w:val="24"/>
        </w:rPr>
        <w:t>paper-based</w:t>
      </w:r>
      <w:r w:rsidRPr="0016235B">
        <w:rPr>
          <w:rFonts w:ascii="Candara" w:eastAsia="MS Mincho" w:hAnsi="Candara"/>
          <w:sz w:val="24"/>
          <w:szCs w:val="24"/>
        </w:rPr>
        <w:t xml:space="preserve"> data capture was used. Data review for quality was done at the district level by the biostatisticians in each team. Data captured was manually entered into </w:t>
      </w:r>
      <w:r w:rsidR="00EF7215" w:rsidRPr="0016235B">
        <w:rPr>
          <w:rFonts w:ascii="Candara" w:eastAsia="MS Mincho" w:hAnsi="Candara"/>
          <w:sz w:val="24"/>
          <w:szCs w:val="24"/>
        </w:rPr>
        <w:t>the Census and Survey Processing System (</w:t>
      </w:r>
      <w:proofErr w:type="spellStart"/>
      <w:r w:rsidR="00EF7215" w:rsidRPr="0016235B">
        <w:rPr>
          <w:rFonts w:ascii="Candara" w:eastAsia="MS Mincho" w:hAnsi="Candara"/>
          <w:sz w:val="24"/>
          <w:szCs w:val="24"/>
        </w:rPr>
        <w:t>CSPro</w:t>
      </w:r>
      <w:proofErr w:type="spellEnd"/>
      <w:r w:rsidR="00EF7215" w:rsidRPr="0016235B">
        <w:rPr>
          <w:rFonts w:ascii="Candara" w:eastAsia="MS Mincho" w:hAnsi="Candara"/>
          <w:sz w:val="24"/>
          <w:szCs w:val="24"/>
        </w:rPr>
        <w:t>)</w:t>
      </w:r>
      <w:r w:rsidR="00FC536C" w:rsidRPr="0016235B">
        <w:rPr>
          <w:rFonts w:ascii="Candara" w:eastAsia="MS Mincho" w:hAnsi="Candara"/>
          <w:sz w:val="24"/>
          <w:szCs w:val="24"/>
        </w:rPr>
        <w:t xml:space="preserve">, </w:t>
      </w:r>
      <w:r w:rsidR="00EF7215" w:rsidRPr="0016235B">
        <w:rPr>
          <w:rFonts w:ascii="Candara" w:eastAsia="MS Mincho" w:hAnsi="Candara"/>
          <w:sz w:val="24"/>
          <w:szCs w:val="24"/>
        </w:rPr>
        <w:t>a public domain software package used for entering, editing, tabulating, and disseminating census and survey data. Data cleaning was done in the same setting.</w:t>
      </w:r>
    </w:p>
    <w:p w14:paraId="6D118E36" w14:textId="77777777" w:rsidR="00167C3D" w:rsidRPr="0016235B" w:rsidRDefault="00167C3D" w:rsidP="005722F2">
      <w:pPr>
        <w:pStyle w:val="Heading2"/>
        <w:numPr>
          <w:ilvl w:val="1"/>
          <w:numId w:val="25"/>
        </w:numPr>
        <w:rPr>
          <w:rFonts w:ascii="Candara" w:hAnsi="Candara"/>
          <w:b/>
          <w:sz w:val="28"/>
          <w:szCs w:val="28"/>
        </w:rPr>
      </w:pPr>
      <w:bookmarkStart w:id="15" w:name="_Toc11494028"/>
      <w:r w:rsidRPr="0016235B">
        <w:rPr>
          <w:rFonts w:ascii="Candara" w:hAnsi="Candara"/>
          <w:b/>
          <w:sz w:val="28"/>
          <w:szCs w:val="28"/>
        </w:rPr>
        <w:lastRenderedPageBreak/>
        <w:t>Data quality</w:t>
      </w:r>
      <w:bookmarkEnd w:id="15"/>
    </w:p>
    <w:p w14:paraId="55899E02" w14:textId="27FB821E" w:rsidR="00167C3D" w:rsidRPr="0016235B" w:rsidRDefault="00167C3D" w:rsidP="00CB48CA">
      <w:pPr>
        <w:jc w:val="both"/>
        <w:rPr>
          <w:rFonts w:ascii="Candara" w:eastAsia="MS Mincho" w:hAnsi="Candara"/>
          <w:sz w:val="24"/>
          <w:szCs w:val="24"/>
        </w:rPr>
      </w:pPr>
      <w:r w:rsidRPr="0016235B">
        <w:rPr>
          <w:rFonts w:ascii="Candara" w:eastAsia="MS Mincho" w:hAnsi="Candara"/>
          <w:sz w:val="24"/>
          <w:szCs w:val="24"/>
        </w:rPr>
        <w:t>External Quality Assurance was provided with the Technical Assistance from JSI who sampled 12% of the sampled facilities</w:t>
      </w:r>
      <w:r w:rsidR="00CB48CA" w:rsidRPr="0016235B">
        <w:rPr>
          <w:rFonts w:ascii="Candara" w:eastAsia="MS Mincho" w:hAnsi="Candara"/>
          <w:sz w:val="24"/>
          <w:szCs w:val="24"/>
        </w:rPr>
        <w:t xml:space="preserve"> to assure the quality of data</w:t>
      </w:r>
      <w:r w:rsidRPr="0016235B">
        <w:rPr>
          <w:rFonts w:ascii="Candara" w:eastAsia="MS Mincho" w:hAnsi="Candara"/>
          <w:sz w:val="24"/>
          <w:szCs w:val="24"/>
        </w:rPr>
        <w:t>. In total, 21 facilities were re-assessed</w:t>
      </w:r>
      <w:r w:rsidR="006D3BA7" w:rsidRPr="0016235B">
        <w:rPr>
          <w:rFonts w:ascii="Candara" w:eastAsia="MS Mincho" w:hAnsi="Candara"/>
          <w:sz w:val="24"/>
          <w:szCs w:val="24"/>
        </w:rPr>
        <w:t xml:space="preserve"> to</w:t>
      </w:r>
      <w:r w:rsidRPr="0016235B">
        <w:rPr>
          <w:rFonts w:ascii="Candara" w:eastAsia="MS Mincho" w:hAnsi="Candara"/>
          <w:sz w:val="24"/>
          <w:szCs w:val="24"/>
        </w:rPr>
        <w:t xml:space="preserve"> verify findings of the data collection teams.</w:t>
      </w:r>
    </w:p>
    <w:p w14:paraId="1B7F9E40" w14:textId="77777777" w:rsidR="00167C3D" w:rsidRPr="0016235B" w:rsidRDefault="00167C3D" w:rsidP="005722F2">
      <w:pPr>
        <w:pStyle w:val="Heading2"/>
        <w:numPr>
          <w:ilvl w:val="1"/>
          <w:numId w:val="25"/>
        </w:numPr>
        <w:rPr>
          <w:rFonts w:ascii="Candara" w:hAnsi="Candara"/>
          <w:b/>
          <w:sz w:val="28"/>
          <w:szCs w:val="28"/>
        </w:rPr>
      </w:pPr>
      <w:bookmarkStart w:id="16" w:name="_Toc11494029"/>
      <w:r w:rsidRPr="0016235B">
        <w:rPr>
          <w:rFonts w:ascii="Candara" w:hAnsi="Candara"/>
          <w:b/>
          <w:sz w:val="28"/>
          <w:szCs w:val="28"/>
        </w:rPr>
        <w:t>Data analysis</w:t>
      </w:r>
      <w:bookmarkEnd w:id="16"/>
    </w:p>
    <w:p w14:paraId="0E6E6605" w14:textId="2CD31DC1" w:rsidR="00451187" w:rsidRPr="0016235B" w:rsidRDefault="00167C3D" w:rsidP="004D5B79">
      <w:pPr>
        <w:jc w:val="both"/>
        <w:rPr>
          <w:rFonts w:ascii="Candara" w:eastAsia="MS Mincho" w:hAnsi="Candara"/>
          <w:sz w:val="24"/>
          <w:szCs w:val="24"/>
        </w:rPr>
      </w:pPr>
      <w:r w:rsidRPr="0016235B">
        <w:rPr>
          <w:rFonts w:ascii="Candara" w:eastAsia="MS Mincho" w:hAnsi="Candara"/>
          <w:sz w:val="24"/>
          <w:szCs w:val="24"/>
        </w:rPr>
        <w:t xml:space="preserve">Data analysis was done </w:t>
      </w:r>
      <w:r w:rsidR="00451187" w:rsidRPr="0016235B">
        <w:rPr>
          <w:rFonts w:ascii="Candara" w:eastAsia="MS Mincho" w:hAnsi="Candara"/>
          <w:sz w:val="24"/>
          <w:szCs w:val="24"/>
        </w:rPr>
        <w:t>in</w:t>
      </w:r>
      <w:r w:rsidRPr="0016235B">
        <w:rPr>
          <w:rFonts w:ascii="Candara" w:eastAsia="MS Mincho" w:hAnsi="Candara"/>
          <w:sz w:val="24"/>
          <w:szCs w:val="24"/>
        </w:rPr>
        <w:t xml:space="preserve"> S</w:t>
      </w:r>
      <w:r w:rsidR="00451187" w:rsidRPr="0016235B">
        <w:rPr>
          <w:rFonts w:ascii="Candara" w:eastAsia="MS Mincho" w:hAnsi="Candara"/>
          <w:sz w:val="24"/>
          <w:szCs w:val="24"/>
        </w:rPr>
        <w:t>tata</w:t>
      </w:r>
      <w:r w:rsidRPr="0016235B">
        <w:rPr>
          <w:rFonts w:ascii="Candara" w:eastAsia="MS Mincho" w:hAnsi="Candara"/>
          <w:sz w:val="24"/>
          <w:szCs w:val="24"/>
        </w:rPr>
        <w:t xml:space="preserve"> software</w:t>
      </w:r>
      <w:r w:rsidR="004D5B79" w:rsidRPr="0016235B">
        <w:rPr>
          <w:rFonts w:ascii="Candara" w:eastAsia="MS Mincho" w:hAnsi="Candara"/>
          <w:sz w:val="24"/>
          <w:szCs w:val="24"/>
        </w:rPr>
        <w:t xml:space="preserve"> using do files</w:t>
      </w:r>
      <w:r w:rsidRPr="0016235B">
        <w:rPr>
          <w:rFonts w:ascii="Candara" w:eastAsia="MS Mincho" w:hAnsi="Candara"/>
          <w:sz w:val="24"/>
          <w:szCs w:val="24"/>
        </w:rPr>
        <w:t xml:space="preserve">.  </w:t>
      </w:r>
      <w:r w:rsidR="004D5B79" w:rsidRPr="0016235B">
        <w:rPr>
          <w:rFonts w:ascii="Candara" w:eastAsia="MS Mincho" w:hAnsi="Candara"/>
          <w:sz w:val="24"/>
          <w:szCs w:val="24"/>
        </w:rPr>
        <w:t>A </w:t>
      </w:r>
      <w:r w:rsidR="004D5B79" w:rsidRPr="0016235B">
        <w:rPr>
          <w:rFonts w:ascii="Candara" w:eastAsia="MS Mincho" w:hAnsi="Candara"/>
          <w:b/>
          <w:sz w:val="24"/>
          <w:szCs w:val="24"/>
        </w:rPr>
        <w:t>do</w:t>
      </w:r>
      <w:r w:rsidR="009C5BF8" w:rsidRPr="0016235B">
        <w:rPr>
          <w:rFonts w:ascii="Candara" w:eastAsia="MS Mincho" w:hAnsi="Candara"/>
          <w:b/>
          <w:sz w:val="24"/>
          <w:szCs w:val="24"/>
        </w:rPr>
        <w:t>-</w:t>
      </w:r>
      <w:r w:rsidR="004D5B79" w:rsidRPr="0016235B">
        <w:rPr>
          <w:rFonts w:ascii="Candara" w:eastAsia="MS Mincho" w:hAnsi="Candara"/>
          <w:b/>
          <w:sz w:val="24"/>
          <w:szCs w:val="24"/>
        </w:rPr>
        <w:t>file</w:t>
      </w:r>
      <w:r w:rsidR="004D5B79" w:rsidRPr="0016235B">
        <w:rPr>
          <w:rFonts w:ascii="Candara" w:eastAsia="MS Mincho" w:hAnsi="Candara"/>
          <w:sz w:val="24"/>
          <w:szCs w:val="24"/>
        </w:rPr>
        <w:t xml:space="preserve"> contains one or more Stata commands and provides a convenient way to perform a series of Stata commands, allowing for replication, documentation and running only sections of the SARA tool.  </w:t>
      </w:r>
      <w:r w:rsidRPr="0016235B">
        <w:rPr>
          <w:rFonts w:ascii="Candara" w:eastAsia="MS Mincho" w:hAnsi="Candara"/>
          <w:sz w:val="24"/>
          <w:szCs w:val="24"/>
        </w:rPr>
        <w:t xml:space="preserve">Data was exported to </w:t>
      </w:r>
      <w:r w:rsidR="004D5B79" w:rsidRPr="0016235B">
        <w:rPr>
          <w:rFonts w:ascii="Candara" w:eastAsia="MS Mincho" w:hAnsi="Candara"/>
          <w:sz w:val="24"/>
          <w:szCs w:val="24"/>
        </w:rPr>
        <w:t xml:space="preserve">Microsoft </w:t>
      </w:r>
      <w:r w:rsidRPr="0016235B">
        <w:rPr>
          <w:rFonts w:ascii="Candara" w:eastAsia="MS Mincho" w:hAnsi="Candara"/>
          <w:sz w:val="24"/>
          <w:szCs w:val="24"/>
        </w:rPr>
        <w:t xml:space="preserve">Excel </w:t>
      </w:r>
      <w:r w:rsidR="004D5B79" w:rsidRPr="0016235B">
        <w:rPr>
          <w:rFonts w:ascii="Candara" w:eastAsia="MS Mincho" w:hAnsi="Candara"/>
          <w:sz w:val="24"/>
          <w:szCs w:val="24"/>
        </w:rPr>
        <w:t xml:space="preserve">and formatted </w:t>
      </w:r>
      <w:r w:rsidRPr="0016235B">
        <w:rPr>
          <w:rFonts w:ascii="Candara" w:eastAsia="MS Mincho" w:hAnsi="Candara"/>
          <w:sz w:val="24"/>
          <w:szCs w:val="24"/>
        </w:rPr>
        <w:t>in</w:t>
      </w:r>
      <w:r w:rsidR="004D5B79" w:rsidRPr="0016235B">
        <w:rPr>
          <w:rFonts w:ascii="Candara" w:eastAsia="MS Mincho" w:hAnsi="Candara"/>
          <w:sz w:val="24"/>
          <w:szCs w:val="24"/>
        </w:rPr>
        <w:t>to</w:t>
      </w:r>
      <w:r w:rsidRPr="0016235B">
        <w:rPr>
          <w:rFonts w:ascii="Candara" w:eastAsia="MS Mincho" w:hAnsi="Candara"/>
          <w:sz w:val="24"/>
          <w:szCs w:val="24"/>
        </w:rPr>
        <w:t xml:space="preserve"> table</w:t>
      </w:r>
      <w:r w:rsidR="004D5B79" w:rsidRPr="0016235B">
        <w:rPr>
          <w:rFonts w:ascii="Candara" w:eastAsia="MS Mincho" w:hAnsi="Candara"/>
          <w:sz w:val="24"/>
          <w:szCs w:val="24"/>
        </w:rPr>
        <w:t>s</w:t>
      </w:r>
      <w:r w:rsidRPr="0016235B">
        <w:rPr>
          <w:rFonts w:ascii="Candara" w:eastAsia="MS Mincho" w:hAnsi="Candara"/>
          <w:sz w:val="24"/>
          <w:szCs w:val="24"/>
        </w:rPr>
        <w:t xml:space="preserve"> </w:t>
      </w:r>
      <w:r w:rsidR="004D5B79" w:rsidRPr="0016235B">
        <w:rPr>
          <w:rFonts w:ascii="Candara" w:eastAsia="MS Mincho" w:hAnsi="Candara"/>
          <w:sz w:val="24"/>
          <w:szCs w:val="24"/>
        </w:rPr>
        <w:t>from which charts were generated</w:t>
      </w:r>
      <w:r w:rsidRPr="0016235B">
        <w:rPr>
          <w:rFonts w:ascii="Candara" w:eastAsia="MS Mincho" w:hAnsi="Candara"/>
          <w:sz w:val="24"/>
          <w:szCs w:val="24"/>
        </w:rPr>
        <w:t>.</w:t>
      </w:r>
    </w:p>
    <w:p w14:paraId="75D995EA" w14:textId="77777777" w:rsidR="00167C3D" w:rsidRPr="0016235B" w:rsidRDefault="00167C3D" w:rsidP="005722F2">
      <w:pPr>
        <w:pStyle w:val="Heading2"/>
        <w:numPr>
          <w:ilvl w:val="1"/>
          <w:numId w:val="25"/>
        </w:numPr>
        <w:rPr>
          <w:rFonts w:ascii="Candara" w:hAnsi="Candara"/>
          <w:b/>
          <w:sz w:val="28"/>
          <w:szCs w:val="28"/>
        </w:rPr>
      </w:pPr>
      <w:bookmarkStart w:id="17" w:name="_Toc11494030"/>
      <w:r w:rsidRPr="0016235B">
        <w:rPr>
          <w:rFonts w:ascii="Candara" w:hAnsi="Candara"/>
          <w:b/>
          <w:sz w:val="28"/>
          <w:szCs w:val="28"/>
        </w:rPr>
        <w:t>Dissemination of results</w:t>
      </w:r>
      <w:bookmarkEnd w:id="17"/>
    </w:p>
    <w:p w14:paraId="37593249" w14:textId="0D1AEEDC" w:rsidR="00167C3D" w:rsidRPr="0016235B" w:rsidRDefault="00167C3D" w:rsidP="004D5B79">
      <w:pPr>
        <w:jc w:val="both"/>
        <w:rPr>
          <w:rFonts w:ascii="Candara" w:eastAsia="MS Mincho" w:hAnsi="Candara"/>
          <w:sz w:val="24"/>
          <w:szCs w:val="24"/>
        </w:rPr>
      </w:pPr>
      <w:r w:rsidRPr="0016235B">
        <w:rPr>
          <w:rFonts w:ascii="Candara" w:eastAsia="MS Mincho" w:hAnsi="Candara"/>
          <w:sz w:val="24"/>
          <w:szCs w:val="24"/>
        </w:rPr>
        <w:t>The report will be disseminated to all stakeholders for use in planning and decision making. Initially the report will be shared with the sampled districts for validation and feedback. Thereafter</w:t>
      </w:r>
      <w:r w:rsidR="005D0734" w:rsidRPr="0016235B">
        <w:rPr>
          <w:rFonts w:ascii="Candara" w:eastAsia="MS Mincho" w:hAnsi="Candara"/>
          <w:sz w:val="24"/>
          <w:szCs w:val="24"/>
        </w:rPr>
        <w:t>,</w:t>
      </w:r>
      <w:r w:rsidRPr="0016235B">
        <w:rPr>
          <w:rFonts w:ascii="Candara" w:eastAsia="MS Mincho" w:hAnsi="Candara"/>
          <w:sz w:val="24"/>
          <w:szCs w:val="24"/>
        </w:rPr>
        <w:t xml:space="preserve"> the final report will be disseminated through different fora such as dissemination meetings, publication online, social media platform</w:t>
      </w:r>
      <w:r w:rsidR="005D0734" w:rsidRPr="0016235B">
        <w:rPr>
          <w:rFonts w:ascii="Candara" w:eastAsia="MS Mincho" w:hAnsi="Candara"/>
          <w:sz w:val="24"/>
          <w:szCs w:val="24"/>
        </w:rPr>
        <w:t>s</w:t>
      </w:r>
      <w:r w:rsidR="004D5B79" w:rsidRPr="0016235B">
        <w:rPr>
          <w:rFonts w:ascii="Candara" w:eastAsia="MS Mincho" w:hAnsi="Candara"/>
          <w:sz w:val="24"/>
          <w:szCs w:val="24"/>
        </w:rPr>
        <w:t xml:space="preserve"> and</w:t>
      </w:r>
      <w:r w:rsidRPr="0016235B">
        <w:rPr>
          <w:rFonts w:ascii="Candara" w:eastAsia="MS Mincho" w:hAnsi="Candara"/>
          <w:sz w:val="24"/>
          <w:szCs w:val="24"/>
        </w:rPr>
        <w:t xml:space="preserve"> print media. </w:t>
      </w:r>
    </w:p>
    <w:p w14:paraId="33D36F70" w14:textId="4F0472FB" w:rsidR="00ED33EF" w:rsidRPr="0016235B" w:rsidRDefault="00ED33EF">
      <w:pPr>
        <w:rPr>
          <w:rFonts w:ascii="Candara" w:hAnsi="Candara"/>
          <w:color w:val="FF0000"/>
          <w:sz w:val="24"/>
          <w:szCs w:val="24"/>
        </w:rPr>
      </w:pPr>
      <w:r w:rsidRPr="0016235B">
        <w:rPr>
          <w:rFonts w:ascii="Candara" w:hAnsi="Candara"/>
          <w:color w:val="FF0000"/>
          <w:sz w:val="24"/>
          <w:szCs w:val="24"/>
        </w:rPr>
        <w:br w:type="page"/>
      </w:r>
    </w:p>
    <w:p w14:paraId="7C1F0A54" w14:textId="5A2C92F7" w:rsidR="00BA4A75" w:rsidRPr="0016235B" w:rsidRDefault="006F4372" w:rsidP="005722F2">
      <w:pPr>
        <w:pStyle w:val="Heading1"/>
        <w:numPr>
          <w:ilvl w:val="0"/>
          <w:numId w:val="25"/>
        </w:numPr>
        <w:rPr>
          <w:rFonts w:ascii="Candara" w:hAnsi="Candara"/>
          <w:b/>
          <w:sz w:val="28"/>
          <w:szCs w:val="28"/>
        </w:rPr>
      </w:pPr>
      <w:bookmarkStart w:id="18" w:name="_Toc11494031"/>
      <w:r w:rsidRPr="0016235B">
        <w:rPr>
          <w:rFonts w:ascii="Candara" w:hAnsi="Candara"/>
          <w:b/>
          <w:sz w:val="28"/>
          <w:szCs w:val="28"/>
        </w:rPr>
        <w:lastRenderedPageBreak/>
        <w:t>RESULTS</w:t>
      </w:r>
      <w:bookmarkEnd w:id="18"/>
      <w:r w:rsidR="001321C2" w:rsidRPr="0016235B">
        <w:rPr>
          <w:rFonts w:ascii="Candara" w:hAnsi="Candara"/>
          <w:b/>
          <w:sz w:val="28"/>
          <w:szCs w:val="28"/>
        </w:rPr>
        <w:t xml:space="preserve"> </w:t>
      </w:r>
    </w:p>
    <w:p w14:paraId="6502E36F" w14:textId="77777777" w:rsidR="00941602" w:rsidRPr="0016235B" w:rsidRDefault="00941602" w:rsidP="00941602">
      <w:pPr>
        <w:spacing w:after="0" w:line="240" w:lineRule="auto"/>
        <w:rPr>
          <w:rFonts w:ascii="Candara" w:hAnsi="Candara"/>
          <w:b/>
          <w:sz w:val="28"/>
          <w:szCs w:val="28"/>
        </w:rPr>
      </w:pPr>
    </w:p>
    <w:p w14:paraId="2AAACC1B" w14:textId="7A8FC17F" w:rsidR="00625FA6" w:rsidRPr="0016235B" w:rsidRDefault="008F4D66" w:rsidP="00941602">
      <w:pPr>
        <w:spacing w:after="0" w:line="240" w:lineRule="auto"/>
        <w:rPr>
          <w:rFonts w:ascii="Candara" w:eastAsia="MS Mincho" w:hAnsi="Candara"/>
          <w:sz w:val="24"/>
          <w:szCs w:val="24"/>
        </w:rPr>
      </w:pPr>
      <w:r w:rsidRPr="0016235B">
        <w:rPr>
          <w:rFonts w:ascii="Candara" w:eastAsia="MS Mincho" w:hAnsi="Candara"/>
          <w:sz w:val="24"/>
          <w:szCs w:val="24"/>
        </w:rPr>
        <w:t xml:space="preserve">Key findings from the </w:t>
      </w:r>
      <w:r w:rsidR="00FA102E" w:rsidRPr="0016235B">
        <w:rPr>
          <w:rFonts w:ascii="Candara" w:eastAsia="MS Mincho" w:hAnsi="Candara"/>
          <w:sz w:val="24"/>
          <w:szCs w:val="24"/>
        </w:rPr>
        <w:t xml:space="preserve">domains </w:t>
      </w:r>
      <w:r w:rsidRPr="0016235B">
        <w:rPr>
          <w:rFonts w:ascii="Candara" w:eastAsia="MS Mincho" w:hAnsi="Candara"/>
          <w:sz w:val="24"/>
          <w:szCs w:val="24"/>
        </w:rPr>
        <w:t>assess</w:t>
      </w:r>
      <w:r w:rsidR="00FA102E" w:rsidRPr="0016235B">
        <w:rPr>
          <w:rFonts w:ascii="Candara" w:eastAsia="MS Mincho" w:hAnsi="Candara"/>
          <w:sz w:val="24"/>
          <w:szCs w:val="24"/>
        </w:rPr>
        <w:t>ed during SARA</w:t>
      </w:r>
      <w:r w:rsidRPr="0016235B">
        <w:rPr>
          <w:rFonts w:ascii="Candara" w:eastAsia="MS Mincho" w:hAnsi="Candara"/>
          <w:sz w:val="24"/>
          <w:szCs w:val="24"/>
        </w:rPr>
        <w:t xml:space="preserve"> are highlighted in this section</w:t>
      </w:r>
      <w:r w:rsidR="00FA102E" w:rsidRPr="0016235B">
        <w:rPr>
          <w:rFonts w:ascii="Candara" w:eastAsia="MS Mincho" w:hAnsi="Candara"/>
          <w:sz w:val="24"/>
          <w:szCs w:val="24"/>
        </w:rPr>
        <w:t>.</w:t>
      </w:r>
    </w:p>
    <w:p w14:paraId="64DFD053" w14:textId="77777777" w:rsidR="005E7CA7" w:rsidRPr="0016235B" w:rsidRDefault="005E7CA7" w:rsidP="00941602">
      <w:pPr>
        <w:spacing w:after="0" w:line="240" w:lineRule="auto"/>
        <w:rPr>
          <w:rFonts w:ascii="Candara" w:eastAsia="MS Mincho" w:hAnsi="Candara"/>
          <w:sz w:val="24"/>
          <w:szCs w:val="24"/>
        </w:rPr>
      </w:pPr>
    </w:p>
    <w:p w14:paraId="7564E59F" w14:textId="77777777" w:rsidR="00625FA6" w:rsidRPr="0016235B" w:rsidRDefault="00625FA6" w:rsidP="00941602">
      <w:pPr>
        <w:spacing w:after="0" w:line="240" w:lineRule="auto"/>
        <w:rPr>
          <w:rFonts w:ascii="Candara" w:hAnsi="Candara"/>
          <w:b/>
          <w:sz w:val="28"/>
          <w:szCs w:val="28"/>
        </w:rPr>
      </w:pPr>
    </w:p>
    <w:p w14:paraId="42CEA895" w14:textId="0CC08A7A" w:rsidR="00627675" w:rsidRPr="0016235B" w:rsidRDefault="00627675" w:rsidP="005722F2">
      <w:pPr>
        <w:pStyle w:val="Heading2"/>
        <w:numPr>
          <w:ilvl w:val="1"/>
          <w:numId w:val="25"/>
        </w:numPr>
        <w:rPr>
          <w:rFonts w:ascii="Candara" w:hAnsi="Candara"/>
          <w:b/>
          <w:sz w:val="28"/>
          <w:szCs w:val="28"/>
        </w:rPr>
      </w:pPr>
      <w:bookmarkStart w:id="19" w:name="_Toc11494032"/>
      <w:r w:rsidRPr="0016235B">
        <w:rPr>
          <w:rFonts w:ascii="Candara" w:hAnsi="Candara"/>
          <w:b/>
          <w:sz w:val="28"/>
          <w:szCs w:val="28"/>
        </w:rPr>
        <w:t>Distribution of health facilities surveyed</w:t>
      </w:r>
      <w:bookmarkEnd w:id="19"/>
    </w:p>
    <w:p w14:paraId="0D262E07" w14:textId="77777777" w:rsidR="00627675" w:rsidRPr="0016235B" w:rsidRDefault="00627675" w:rsidP="00627675">
      <w:pPr>
        <w:spacing w:after="0" w:line="240" w:lineRule="auto"/>
        <w:rPr>
          <w:rFonts w:ascii="Candara" w:hAnsi="Candara"/>
          <w:b/>
          <w:sz w:val="28"/>
          <w:szCs w:val="28"/>
        </w:rPr>
      </w:pPr>
    </w:p>
    <w:p w14:paraId="451996D5" w14:textId="1BA96A4A" w:rsidR="004D6945" w:rsidRPr="0016235B" w:rsidRDefault="004D6945" w:rsidP="00FE7205">
      <w:pPr>
        <w:jc w:val="both"/>
        <w:rPr>
          <w:rFonts w:ascii="Candara" w:hAnsi="Candara"/>
          <w:sz w:val="24"/>
          <w:szCs w:val="24"/>
        </w:rPr>
      </w:pPr>
      <w:r w:rsidRPr="0016235B">
        <w:rPr>
          <w:rFonts w:ascii="Candara" w:hAnsi="Candara"/>
          <w:sz w:val="24"/>
          <w:szCs w:val="24"/>
        </w:rPr>
        <w:t>A total of 166 health facilities</w:t>
      </w:r>
      <w:r w:rsidR="005425FE" w:rsidRPr="0016235B">
        <w:rPr>
          <w:rFonts w:ascii="Candara" w:hAnsi="Candara"/>
          <w:sz w:val="24"/>
          <w:szCs w:val="24"/>
        </w:rPr>
        <w:t xml:space="preserve"> </w:t>
      </w:r>
      <w:r w:rsidR="00FE7205" w:rsidRPr="0016235B">
        <w:rPr>
          <w:rFonts w:ascii="Candara" w:hAnsi="Candara"/>
          <w:sz w:val="24"/>
          <w:szCs w:val="24"/>
        </w:rPr>
        <w:t xml:space="preserve">were assessed. The chart and table below show their </w:t>
      </w:r>
      <w:r w:rsidR="005425FE" w:rsidRPr="0016235B">
        <w:rPr>
          <w:rFonts w:ascii="Candara" w:hAnsi="Candara"/>
          <w:sz w:val="24"/>
          <w:szCs w:val="24"/>
        </w:rPr>
        <w:t>disaggregat</w:t>
      </w:r>
      <w:r w:rsidR="00FE7205" w:rsidRPr="0016235B">
        <w:rPr>
          <w:rFonts w:ascii="Candara" w:hAnsi="Candara"/>
          <w:sz w:val="24"/>
          <w:szCs w:val="24"/>
        </w:rPr>
        <w:t>ion</w:t>
      </w:r>
      <w:r w:rsidR="005425FE" w:rsidRPr="0016235B">
        <w:rPr>
          <w:rFonts w:ascii="Candara" w:hAnsi="Candara"/>
          <w:sz w:val="24"/>
          <w:szCs w:val="24"/>
        </w:rPr>
        <w:t xml:space="preserve"> by facility </w:t>
      </w:r>
      <w:r w:rsidR="00FE7205" w:rsidRPr="0016235B">
        <w:rPr>
          <w:rFonts w:ascii="Candara" w:hAnsi="Candara"/>
          <w:sz w:val="24"/>
          <w:szCs w:val="24"/>
        </w:rPr>
        <w:t>level</w:t>
      </w:r>
      <w:r w:rsidR="005425FE" w:rsidRPr="0016235B">
        <w:rPr>
          <w:rFonts w:ascii="Candara" w:hAnsi="Candara"/>
          <w:sz w:val="24"/>
          <w:szCs w:val="24"/>
        </w:rPr>
        <w:t xml:space="preserve">, </w:t>
      </w:r>
      <w:r w:rsidR="00FE7205" w:rsidRPr="0016235B">
        <w:rPr>
          <w:rFonts w:ascii="Candara" w:hAnsi="Candara"/>
          <w:sz w:val="24"/>
          <w:szCs w:val="24"/>
        </w:rPr>
        <w:t>ownership, location and health region.</w:t>
      </w:r>
    </w:p>
    <w:p w14:paraId="01BC47B8" w14:textId="10028BF5" w:rsidR="004D6945" w:rsidRPr="0016235B" w:rsidRDefault="004D6945">
      <w:pPr>
        <w:rPr>
          <w:rFonts w:ascii="Candara" w:hAnsi="Candara"/>
          <w:b/>
          <w:sz w:val="24"/>
          <w:szCs w:val="24"/>
        </w:rPr>
      </w:pPr>
      <w:r w:rsidRPr="0016235B">
        <w:rPr>
          <w:rFonts w:ascii="Candara" w:hAnsi="Candara"/>
          <w:b/>
          <w:sz w:val="24"/>
          <w:szCs w:val="24"/>
        </w:rPr>
        <w:t>Distribution of facilities n</w:t>
      </w:r>
      <w:r w:rsidR="002B2429" w:rsidRPr="0016235B">
        <w:rPr>
          <w:rFonts w:ascii="Candara" w:hAnsi="Candara"/>
          <w:b/>
          <w:sz w:val="24"/>
          <w:szCs w:val="24"/>
        </w:rPr>
        <w:t>=166</w:t>
      </w:r>
      <w:r w:rsidRPr="0016235B">
        <w:rPr>
          <w:rFonts w:ascii="Candara" w:hAnsi="Candara"/>
          <w:b/>
          <w:sz w:val="24"/>
          <w:szCs w:val="24"/>
        </w:rPr>
        <w:t>(%)</w:t>
      </w:r>
    </w:p>
    <w:p w14:paraId="2F180542" w14:textId="49EAF71B" w:rsidR="004D6945" w:rsidRPr="0016235B" w:rsidRDefault="005425FE">
      <w:pPr>
        <w:rPr>
          <w:rFonts w:ascii="Candara" w:hAnsi="Candara"/>
          <w:sz w:val="24"/>
          <w:szCs w:val="24"/>
        </w:rPr>
      </w:pPr>
      <w:r w:rsidRPr="0016235B">
        <w:rPr>
          <w:rFonts w:ascii="Candara" w:hAnsi="Candara"/>
          <w:noProof/>
        </w:rPr>
        <w:drawing>
          <wp:inline distT="0" distB="0" distL="0" distR="0" wp14:anchorId="5616A73E" wp14:editId="5C14EFC7">
            <wp:extent cx="5731510" cy="3079115"/>
            <wp:effectExtent l="0" t="0" r="2540" b="6985"/>
            <wp:docPr id="9" name="Chart 9">
              <a:extLst xmlns:a="http://schemas.openxmlformats.org/drawingml/2006/main">
                <a:ext uri="{FF2B5EF4-FFF2-40B4-BE49-F238E27FC236}">
                  <a16:creationId xmlns:a16="http://schemas.microsoft.com/office/drawing/2014/main" id="{3A1EA7F1-E8A7-4285-939C-E591D2D584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8E7D49" w14:textId="7947EC45" w:rsidR="005E7CA7" w:rsidRPr="0016235B" w:rsidRDefault="005E7CA7">
      <w:pPr>
        <w:rPr>
          <w:rFonts w:ascii="Candara" w:hAnsi="Candara"/>
          <w:sz w:val="24"/>
          <w:szCs w:val="24"/>
        </w:rPr>
      </w:pPr>
      <w:r w:rsidRPr="0016235B">
        <w:rPr>
          <w:rFonts w:ascii="Candara" w:hAnsi="Candara"/>
          <w:sz w:val="24"/>
          <w:szCs w:val="24"/>
        </w:rPr>
        <w:br w:type="page"/>
      </w:r>
    </w:p>
    <w:p w14:paraId="57401764" w14:textId="77777777" w:rsidR="004D6945" w:rsidRPr="0016235B" w:rsidRDefault="004D6945">
      <w:pPr>
        <w:rPr>
          <w:rFonts w:ascii="Candara" w:hAnsi="Candara"/>
          <w:sz w:val="24"/>
          <w:szCs w:val="24"/>
        </w:rPr>
      </w:pPr>
    </w:p>
    <w:tbl>
      <w:tblPr>
        <w:tblStyle w:val="PlainTable2"/>
        <w:tblW w:w="6120" w:type="dxa"/>
        <w:tblLook w:val="04A0" w:firstRow="1" w:lastRow="0" w:firstColumn="1" w:lastColumn="0" w:noHBand="0" w:noVBand="1"/>
      </w:tblPr>
      <w:tblGrid>
        <w:gridCol w:w="3330"/>
        <w:gridCol w:w="1260"/>
        <w:gridCol w:w="1530"/>
      </w:tblGrid>
      <w:tr w:rsidR="00FE7205" w:rsidRPr="0016235B" w14:paraId="5FAB7F79" w14:textId="77777777" w:rsidTr="00FE720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2A978E3F" w14:textId="77777777" w:rsidR="00FE7205" w:rsidRPr="0016235B" w:rsidRDefault="00FE7205" w:rsidP="00FE7205">
            <w:pPr>
              <w:rPr>
                <w:rFonts w:ascii="Candara" w:eastAsia="Times New Roman" w:hAnsi="Candara" w:cs="Times New Roman"/>
                <w:sz w:val="24"/>
                <w:szCs w:val="24"/>
              </w:rPr>
            </w:pPr>
          </w:p>
        </w:tc>
        <w:tc>
          <w:tcPr>
            <w:tcW w:w="1260" w:type="dxa"/>
            <w:noWrap/>
            <w:hideMark/>
          </w:tcPr>
          <w:p w14:paraId="1338DC3C" w14:textId="77777777" w:rsidR="00FE7205" w:rsidRPr="0016235B" w:rsidRDefault="00FE7205" w:rsidP="00FE7205">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Number</w:t>
            </w:r>
          </w:p>
        </w:tc>
        <w:tc>
          <w:tcPr>
            <w:tcW w:w="1530" w:type="dxa"/>
            <w:noWrap/>
            <w:hideMark/>
          </w:tcPr>
          <w:p w14:paraId="07659901" w14:textId="77777777" w:rsidR="00FE7205" w:rsidRPr="0016235B" w:rsidRDefault="00FE7205" w:rsidP="00FE7205">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Percentage</w:t>
            </w:r>
          </w:p>
        </w:tc>
      </w:tr>
      <w:tr w:rsidR="00FE7205" w:rsidRPr="0016235B" w14:paraId="62BD1124"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51462311"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Regional Hospital</w:t>
            </w:r>
          </w:p>
        </w:tc>
        <w:tc>
          <w:tcPr>
            <w:tcW w:w="1260" w:type="dxa"/>
            <w:noWrap/>
            <w:hideMark/>
          </w:tcPr>
          <w:p w14:paraId="0ABC226A"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11</w:t>
            </w:r>
          </w:p>
        </w:tc>
        <w:tc>
          <w:tcPr>
            <w:tcW w:w="1530" w:type="dxa"/>
            <w:noWrap/>
            <w:hideMark/>
          </w:tcPr>
          <w:p w14:paraId="6E80EAD0"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6.6</w:t>
            </w:r>
          </w:p>
        </w:tc>
      </w:tr>
      <w:tr w:rsidR="00FE7205" w:rsidRPr="0016235B" w14:paraId="73FB7908"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0A477B5B"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General Hospital</w:t>
            </w:r>
          </w:p>
        </w:tc>
        <w:tc>
          <w:tcPr>
            <w:tcW w:w="1260" w:type="dxa"/>
            <w:noWrap/>
            <w:hideMark/>
          </w:tcPr>
          <w:p w14:paraId="73540D66"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25</w:t>
            </w:r>
          </w:p>
        </w:tc>
        <w:tc>
          <w:tcPr>
            <w:tcW w:w="1530" w:type="dxa"/>
            <w:noWrap/>
            <w:hideMark/>
          </w:tcPr>
          <w:p w14:paraId="7A92FCDC"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15.1</w:t>
            </w:r>
          </w:p>
        </w:tc>
      </w:tr>
      <w:tr w:rsidR="00FE7205" w:rsidRPr="0016235B" w14:paraId="336A444E"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115F2484"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HC IV</w:t>
            </w:r>
          </w:p>
        </w:tc>
        <w:tc>
          <w:tcPr>
            <w:tcW w:w="1260" w:type="dxa"/>
            <w:noWrap/>
            <w:hideMark/>
          </w:tcPr>
          <w:p w14:paraId="0A089221"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26</w:t>
            </w:r>
          </w:p>
        </w:tc>
        <w:tc>
          <w:tcPr>
            <w:tcW w:w="1530" w:type="dxa"/>
            <w:noWrap/>
            <w:hideMark/>
          </w:tcPr>
          <w:p w14:paraId="05DABBFB"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15.7</w:t>
            </w:r>
          </w:p>
        </w:tc>
      </w:tr>
      <w:tr w:rsidR="00FE7205" w:rsidRPr="0016235B" w14:paraId="16436F8D"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0ECB400D"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HC III</w:t>
            </w:r>
          </w:p>
        </w:tc>
        <w:tc>
          <w:tcPr>
            <w:tcW w:w="1260" w:type="dxa"/>
            <w:noWrap/>
            <w:hideMark/>
          </w:tcPr>
          <w:p w14:paraId="2664F2CA"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46</w:t>
            </w:r>
          </w:p>
        </w:tc>
        <w:tc>
          <w:tcPr>
            <w:tcW w:w="1530" w:type="dxa"/>
            <w:noWrap/>
            <w:hideMark/>
          </w:tcPr>
          <w:p w14:paraId="09C2EE7A"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27.7</w:t>
            </w:r>
          </w:p>
        </w:tc>
      </w:tr>
      <w:tr w:rsidR="00FE7205" w:rsidRPr="0016235B" w14:paraId="68D40D2C"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341B34A9"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HC II</w:t>
            </w:r>
          </w:p>
        </w:tc>
        <w:tc>
          <w:tcPr>
            <w:tcW w:w="1260" w:type="dxa"/>
            <w:noWrap/>
            <w:hideMark/>
          </w:tcPr>
          <w:p w14:paraId="12C01954"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58</w:t>
            </w:r>
          </w:p>
        </w:tc>
        <w:tc>
          <w:tcPr>
            <w:tcW w:w="1530" w:type="dxa"/>
            <w:noWrap/>
            <w:hideMark/>
          </w:tcPr>
          <w:p w14:paraId="6E986E80"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34.9</w:t>
            </w:r>
          </w:p>
        </w:tc>
      </w:tr>
      <w:tr w:rsidR="00FE7205" w:rsidRPr="0016235B" w14:paraId="42CED7FD"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2A0A47BF" w14:textId="77777777" w:rsidR="00FE7205" w:rsidRPr="0016235B" w:rsidRDefault="00FE7205" w:rsidP="00FE7205">
            <w:pPr>
              <w:jc w:val="right"/>
              <w:rPr>
                <w:rFonts w:ascii="Candara" w:eastAsia="Times New Roman" w:hAnsi="Candara" w:cs="Times New Roman"/>
                <w:b w:val="0"/>
                <w:color w:val="000000"/>
                <w:sz w:val="24"/>
                <w:szCs w:val="24"/>
              </w:rPr>
            </w:pPr>
          </w:p>
        </w:tc>
        <w:tc>
          <w:tcPr>
            <w:tcW w:w="1260" w:type="dxa"/>
            <w:noWrap/>
            <w:hideMark/>
          </w:tcPr>
          <w:p w14:paraId="676F4067" w14:textId="77777777" w:rsidR="00FE7205" w:rsidRPr="0016235B" w:rsidRDefault="00FE7205" w:rsidP="00FE7205">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0"/>
                <w:szCs w:val="20"/>
              </w:rPr>
            </w:pPr>
          </w:p>
        </w:tc>
        <w:tc>
          <w:tcPr>
            <w:tcW w:w="1530" w:type="dxa"/>
            <w:noWrap/>
            <w:hideMark/>
          </w:tcPr>
          <w:p w14:paraId="32069D57" w14:textId="77777777" w:rsidR="00FE7205" w:rsidRPr="0016235B" w:rsidRDefault="00FE7205" w:rsidP="00FE7205">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0"/>
                <w:szCs w:val="20"/>
              </w:rPr>
            </w:pPr>
          </w:p>
        </w:tc>
      </w:tr>
      <w:tr w:rsidR="00FE7205" w:rsidRPr="0016235B" w14:paraId="521F8A08"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1440E665"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Government</w:t>
            </w:r>
          </w:p>
        </w:tc>
        <w:tc>
          <w:tcPr>
            <w:tcW w:w="1260" w:type="dxa"/>
            <w:noWrap/>
            <w:hideMark/>
          </w:tcPr>
          <w:p w14:paraId="18D3703C"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93</w:t>
            </w:r>
          </w:p>
        </w:tc>
        <w:tc>
          <w:tcPr>
            <w:tcW w:w="1530" w:type="dxa"/>
            <w:noWrap/>
            <w:hideMark/>
          </w:tcPr>
          <w:p w14:paraId="0285627A"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56.0</w:t>
            </w:r>
          </w:p>
        </w:tc>
      </w:tr>
      <w:tr w:rsidR="00FE7205" w:rsidRPr="0016235B" w14:paraId="4EAF95BF"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1EFF3917"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Private-Not-For-Profit</w:t>
            </w:r>
          </w:p>
        </w:tc>
        <w:tc>
          <w:tcPr>
            <w:tcW w:w="1260" w:type="dxa"/>
            <w:noWrap/>
            <w:hideMark/>
          </w:tcPr>
          <w:p w14:paraId="403DEC37"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35</w:t>
            </w:r>
          </w:p>
        </w:tc>
        <w:tc>
          <w:tcPr>
            <w:tcW w:w="1530" w:type="dxa"/>
            <w:noWrap/>
            <w:hideMark/>
          </w:tcPr>
          <w:p w14:paraId="229BD10D"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21.1</w:t>
            </w:r>
          </w:p>
        </w:tc>
      </w:tr>
      <w:tr w:rsidR="00FE7205" w:rsidRPr="0016235B" w14:paraId="2B219AE2"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411098CD"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Private for profit</w:t>
            </w:r>
          </w:p>
        </w:tc>
        <w:tc>
          <w:tcPr>
            <w:tcW w:w="1260" w:type="dxa"/>
            <w:noWrap/>
            <w:hideMark/>
          </w:tcPr>
          <w:p w14:paraId="34C2D733"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38</w:t>
            </w:r>
          </w:p>
        </w:tc>
        <w:tc>
          <w:tcPr>
            <w:tcW w:w="1530" w:type="dxa"/>
            <w:noWrap/>
            <w:hideMark/>
          </w:tcPr>
          <w:p w14:paraId="31C69A7E"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22.9</w:t>
            </w:r>
          </w:p>
        </w:tc>
      </w:tr>
      <w:tr w:rsidR="00FE7205" w:rsidRPr="0016235B" w14:paraId="24BAE4C7"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433F920A" w14:textId="77777777" w:rsidR="00FE7205" w:rsidRPr="0016235B" w:rsidRDefault="00FE7205" w:rsidP="00FE7205">
            <w:pPr>
              <w:jc w:val="right"/>
              <w:rPr>
                <w:rFonts w:ascii="Candara" w:eastAsia="Times New Roman" w:hAnsi="Candara" w:cs="Times New Roman"/>
                <w:b w:val="0"/>
                <w:color w:val="000000"/>
                <w:sz w:val="24"/>
                <w:szCs w:val="24"/>
              </w:rPr>
            </w:pPr>
          </w:p>
        </w:tc>
        <w:tc>
          <w:tcPr>
            <w:tcW w:w="1260" w:type="dxa"/>
            <w:noWrap/>
            <w:hideMark/>
          </w:tcPr>
          <w:p w14:paraId="78D25D79" w14:textId="77777777" w:rsidR="00FE7205" w:rsidRPr="0016235B" w:rsidRDefault="00FE7205" w:rsidP="00FE7205">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0"/>
                <w:szCs w:val="20"/>
              </w:rPr>
            </w:pPr>
          </w:p>
        </w:tc>
        <w:tc>
          <w:tcPr>
            <w:tcW w:w="1530" w:type="dxa"/>
            <w:noWrap/>
            <w:hideMark/>
          </w:tcPr>
          <w:p w14:paraId="3958F4FA" w14:textId="77777777" w:rsidR="00FE7205" w:rsidRPr="0016235B" w:rsidRDefault="00FE7205" w:rsidP="00FE7205">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0"/>
                <w:szCs w:val="20"/>
              </w:rPr>
            </w:pPr>
          </w:p>
        </w:tc>
      </w:tr>
      <w:tr w:rsidR="00FE7205" w:rsidRPr="0016235B" w14:paraId="19D3B172"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30E7647C"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Urban</w:t>
            </w:r>
          </w:p>
        </w:tc>
        <w:tc>
          <w:tcPr>
            <w:tcW w:w="1260" w:type="dxa"/>
            <w:noWrap/>
            <w:hideMark/>
          </w:tcPr>
          <w:p w14:paraId="3806B9BF"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78</w:t>
            </w:r>
          </w:p>
        </w:tc>
        <w:tc>
          <w:tcPr>
            <w:tcW w:w="1530" w:type="dxa"/>
            <w:noWrap/>
            <w:hideMark/>
          </w:tcPr>
          <w:p w14:paraId="75109FE9"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47.0</w:t>
            </w:r>
          </w:p>
        </w:tc>
      </w:tr>
      <w:tr w:rsidR="00FE7205" w:rsidRPr="0016235B" w14:paraId="222C3DC6"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694B295E"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Rural</w:t>
            </w:r>
          </w:p>
        </w:tc>
        <w:tc>
          <w:tcPr>
            <w:tcW w:w="1260" w:type="dxa"/>
            <w:noWrap/>
            <w:hideMark/>
          </w:tcPr>
          <w:p w14:paraId="037EFBE1"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88</w:t>
            </w:r>
          </w:p>
        </w:tc>
        <w:tc>
          <w:tcPr>
            <w:tcW w:w="1530" w:type="dxa"/>
            <w:noWrap/>
            <w:hideMark/>
          </w:tcPr>
          <w:p w14:paraId="39919C76"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53.0</w:t>
            </w:r>
          </w:p>
        </w:tc>
      </w:tr>
      <w:tr w:rsidR="00FE7205" w:rsidRPr="0016235B" w14:paraId="5AC5F51D"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164AA5C8" w14:textId="77777777" w:rsidR="00FE7205" w:rsidRPr="0016235B" w:rsidRDefault="00FE7205" w:rsidP="00FE7205">
            <w:pPr>
              <w:jc w:val="right"/>
              <w:rPr>
                <w:rFonts w:ascii="Candara" w:eastAsia="Times New Roman" w:hAnsi="Candara" w:cs="Times New Roman"/>
                <w:b w:val="0"/>
                <w:color w:val="000000"/>
                <w:sz w:val="24"/>
                <w:szCs w:val="24"/>
              </w:rPr>
            </w:pPr>
          </w:p>
        </w:tc>
        <w:tc>
          <w:tcPr>
            <w:tcW w:w="1260" w:type="dxa"/>
            <w:noWrap/>
            <w:hideMark/>
          </w:tcPr>
          <w:p w14:paraId="48C69CC2" w14:textId="77777777" w:rsidR="00FE7205" w:rsidRPr="0016235B" w:rsidRDefault="00FE7205" w:rsidP="00FE7205">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sz w:val="20"/>
                <w:szCs w:val="20"/>
              </w:rPr>
            </w:pPr>
          </w:p>
        </w:tc>
        <w:tc>
          <w:tcPr>
            <w:tcW w:w="1530" w:type="dxa"/>
            <w:noWrap/>
            <w:hideMark/>
          </w:tcPr>
          <w:p w14:paraId="067893AD" w14:textId="77777777" w:rsidR="00FE7205" w:rsidRPr="0016235B" w:rsidRDefault="00FE7205" w:rsidP="00FE7205">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sz w:val="20"/>
                <w:szCs w:val="20"/>
              </w:rPr>
            </w:pPr>
          </w:p>
        </w:tc>
      </w:tr>
      <w:tr w:rsidR="00FE7205" w:rsidRPr="0016235B" w14:paraId="7A2BFF88"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77594C3F"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Central1</w:t>
            </w:r>
          </w:p>
        </w:tc>
        <w:tc>
          <w:tcPr>
            <w:tcW w:w="1260" w:type="dxa"/>
            <w:noWrap/>
            <w:hideMark/>
          </w:tcPr>
          <w:p w14:paraId="37CF109D"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25</w:t>
            </w:r>
          </w:p>
        </w:tc>
        <w:tc>
          <w:tcPr>
            <w:tcW w:w="1530" w:type="dxa"/>
            <w:noWrap/>
            <w:hideMark/>
          </w:tcPr>
          <w:p w14:paraId="1DBD171A"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15.6</w:t>
            </w:r>
          </w:p>
        </w:tc>
      </w:tr>
      <w:tr w:rsidR="00FE7205" w:rsidRPr="0016235B" w14:paraId="12833675"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04F7025D"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Central2</w:t>
            </w:r>
          </w:p>
        </w:tc>
        <w:tc>
          <w:tcPr>
            <w:tcW w:w="1260" w:type="dxa"/>
            <w:noWrap/>
            <w:hideMark/>
          </w:tcPr>
          <w:p w14:paraId="13226A4D"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11</w:t>
            </w:r>
          </w:p>
        </w:tc>
        <w:tc>
          <w:tcPr>
            <w:tcW w:w="1530" w:type="dxa"/>
            <w:noWrap/>
            <w:hideMark/>
          </w:tcPr>
          <w:p w14:paraId="2A54CE83"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6.0</w:t>
            </w:r>
          </w:p>
        </w:tc>
      </w:tr>
      <w:tr w:rsidR="00FE7205" w:rsidRPr="0016235B" w14:paraId="75DE2EA9"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4ECCE931"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Kampala</w:t>
            </w:r>
          </w:p>
        </w:tc>
        <w:tc>
          <w:tcPr>
            <w:tcW w:w="1260" w:type="dxa"/>
            <w:noWrap/>
            <w:hideMark/>
          </w:tcPr>
          <w:p w14:paraId="261AC99B"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33</w:t>
            </w:r>
          </w:p>
        </w:tc>
        <w:tc>
          <w:tcPr>
            <w:tcW w:w="1530" w:type="dxa"/>
            <w:noWrap/>
            <w:hideMark/>
          </w:tcPr>
          <w:p w14:paraId="6CB4F9C0"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20.4</w:t>
            </w:r>
          </w:p>
        </w:tc>
      </w:tr>
      <w:tr w:rsidR="00FE7205" w:rsidRPr="0016235B" w14:paraId="2F835D7B"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67B10998"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Karamoja</w:t>
            </w:r>
          </w:p>
        </w:tc>
        <w:tc>
          <w:tcPr>
            <w:tcW w:w="1260" w:type="dxa"/>
            <w:noWrap/>
            <w:hideMark/>
          </w:tcPr>
          <w:p w14:paraId="0DCA0455"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6</w:t>
            </w:r>
          </w:p>
        </w:tc>
        <w:tc>
          <w:tcPr>
            <w:tcW w:w="1530" w:type="dxa"/>
            <w:noWrap/>
            <w:hideMark/>
          </w:tcPr>
          <w:p w14:paraId="1A14EAE0"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3.6</w:t>
            </w:r>
          </w:p>
        </w:tc>
      </w:tr>
      <w:tr w:rsidR="00FE7205" w:rsidRPr="0016235B" w14:paraId="4600EE1C"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5DA603CF" w14:textId="70DCD564"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Mid-Eastern</w:t>
            </w:r>
          </w:p>
        </w:tc>
        <w:tc>
          <w:tcPr>
            <w:tcW w:w="1260" w:type="dxa"/>
            <w:noWrap/>
            <w:hideMark/>
          </w:tcPr>
          <w:p w14:paraId="44ED0B05"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20</w:t>
            </w:r>
          </w:p>
        </w:tc>
        <w:tc>
          <w:tcPr>
            <w:tcW w:w="1530" w:type="dxa"/>
            <w:noWrap/>
            <w:hideMark/>
          </w:tcPr>
          <w:p w14:paraId="54CC8B18"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12.0</w:t>
            </w:r>
          </w:p>
        </w:tc>
      </w:tr>
      <w:tr w:rsidR="00FE7205" w:rsidRPr="0016235B" w14:paraId="58C35A78"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2CBB9292"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Mid-Northern</w:t>
            </w:r>
          </w:p>
        </w:tc>
        <w:tc>
          <w:tcPr>
            <w:tcW w:w="1260" w:type="dxa"/>
            <w:noWrap/>
            <w:hideMark/>
          </w:tcPr>
          <w:p w14:paraId="32F2C22F"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17</w:t>
            </w:r>
          </w:p>
        </w:tc>
        <w:tc>
          <w:tcPr>
            <w:tcW w:w="1530" w:type="dxa"/>
            <w:noWrap/>
            <w:hideMark/>
          </w:tcPr>
          <w:p w14:paraId="26104211"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10.2</w:t>
            </w:r>
          </w:p>
        </w:tc>
      </w:tr>
      <w:tr w:rsidR="00FE7205" w:rsidRPr="0016235B" w14:paraId="2B790CA9"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597294B2"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Mid-West</w:t>
            </w:r>
          </w:p>
        </w:tc>
        <w:tc>
          <w:tcPr>
            <w:tcW w:w="1260" w:type="dxa"/>
            <w:noWrap/>
            <w:hideMark/>
          </w:tcPr>
          <w:p w14:paraId="1BBF481C"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9</w:t>
            </w:r>
          </w:p>
        </w:tc>
        <w:tc>
          <w:tcPr>
            <w:tcW w:w="1530" w:type="dxa"/>
            <w:noWrap/>
            <w:hideMark/>
          </w:tcPr>
          <w:p w14:paraId="143E0CAD"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5.4</w:t>
            </w:r>
          </w:p>
        </w:tc>
      </w:tr>
      <w:tr w:rsidR="00FE7205" w:rsidRPr="0016235B" w14:paraId="6C7719E6"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5DE771A1"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North East</w:t>
            </w:r>
          </w:p>
        </w:tc>
        <w:tc>
          <w:tcPr>
            <w:tcW w:w="1260" w:type="dxa"/>
            <w:noWrap/>
            <w:hideMark/>
          </w:tcPr>
          <w:p w14:paraId="12FF1D36"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8</w:t>
            </w:r>
          </w:p>
        </w:tc>
        <w:tc>
          <w:tcPr>
            <w:tcW w:w="1530" w:type="dxa"/>
            <w:noWrap/>
            <w:hideMark/>
          </w:tcPr>
          <w:p w14:paraId="60104D6C"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4.8</w:t>
            </w:r>
          </w:p>
        </w:tc>
      </w:tr>
      <w:tr w:rsidR="00FE7205" w:rsidRPr="0016235B" w14:paraId="5EFE2C8C"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30297B73"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South West</w:t>
            </w:r>
          </w:p>
        </w:tc>
        <w:tc>
          <w:tcPr>
            <w:tcW w:w="1260" w:type="dxa"/>
            <w:noWrap/>
            <w:hideMark/>
          </w:tcPr>
          <w:p w14:paraId="4271BE06"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24</w:t>
            </w:r>
          </w:p>
        </w:tc>
        <w:tc>
          <w:tcPr>
            <w:tcW w:w="1530" w:type="dxa"/>
            <w:noWrap/>
            <w:hideMark/>
          </w:tcPr>
          <w:p w14:paraId="2093BE74" w14:textId="77777777" w:rsidR="00FE7205" w:rsidRPr="0016235B" w:rsidRDefault="00FE7205" w:rsidP="00FE7205">
            <w:pPr>
              <w:jc w:val="right"/>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14.4</w:t>
            </w:r>
          </w:p>
        </w:tc>
      </w:tr>
      <w:tr w:rsidR="00FE7205" w:rsidRPr="0016235B" w14:paraId="57A38E15"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57FFF0D7"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West Nile</w:t>
            </w:r>
          </w:p>
        </w:tc>
        <w:tc>
          <w:tcPr>
            <w:tcW w:w="1260" w:type="dxa"/>
            <w:noWrap/>
            <w:hideMark/>
          </w:tcPr>
          <w:p w14:paraId="10C75D39"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13</w:t>
            </w:r>
          </w:p>
        </w:tc>
        <w:tc>
          <w:tcPr>
            <w:tcW w:w="1530" w:type="dxa"/>
            <w:noWrap/>
            <w:hideMark/>
          </w:tcPr>
          <w:p w14:paraId="4B500383"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7.8</w:t>
            </w:r>
          </w:p>
        </w:tc>
      </w:tr>
      <w:tr w:rsidR="00FE7205" w:rsidRPr="0016235B" w14:paraId="5118511A" w14:textId="77777777" w:rsidTr="00FE7205">
        <w:trPr>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388E9F22" w14:textId="77777777" w:rsidR="00FE7205" w:rsidRPr="0016235B" w:rsidRDefault="00FE7205" w:rsidP="00FE7205">
            <w:pPr>
              <w:jc w:val="right"/>
              <w:rPr>
                <w:rFonts w:ascii="Candara" w:eastAsia="Times New Roman" w:hAnsi="Candara" w:cs="Times New Roman"/>
                <w:b w:val="0"/>
                <w:color w:val="000000"/>
                <w:sz w:val="24"/>
                <w:szCs w:val="24"/>
              </w:rPr>
            </w:pPr>
          </w:p>
        </w:tc>
        <w:tc>
          <w:tcPr>
            <w:tcW w:w="1260" w:type="dxa"/>
            <w:noWrap/>
            <w:hideMark/>
          </w:tcPr>
          <w:p w14:paraId="527BBD95" w14:textId="77777777" w:rsidR="00FE7205" w:rsidRPr="0016235B" w:rsidRDefault="00FE7205" w:rsidP="00FE7205">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0"/>
                <w:szCs w:val="20"/>
              </w:rPr>
            </w:pPr>
          </w:p>
        </w:tc>
        <w:tc>
          <w:tcPr>
            <w:tcW w:w="1530" w:type="dxa"/>
            <w:noWrap/>
            <w:hideMark/>
          </w:tcPr>
          <w:p w14:paraId="7024DBFC" w14:textId="77777777" w:rsidR="00FE7205" w:rsidRPr="0016235B" w:rsidRDefault="00FE7205" w:rsidP="00FE7205">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sz w:val="20"/>
                <w:szCs w:val="20"/>
              </w:rPr>
            </w:pPr>
          </w:p>
        </w:tc>
      </w:tr>
      <w:tr w:rsidR="00FE7205" w:rsidRPr="0016235B" w14:paraId="47F4EB9C" w14:textId="77777777" w:rsidTr="00FE72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30" w:type="dxa"/>
            <w:noWrap/>
            <w:hideMark/>
          </w:tcPr>
          <w:p w14:paraId="2CEC2458" w14:textId="77777777" w:rsidR="00FE7205" w:rsidRPr="0016235B" w:rsidRDefault="00FE7205" w:rsidP="00FE7205">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Uganda</w:t>
            </w:r>
          </w:p>
        </w:tc>
        <w:tc>
          <w:tcPr>
            <w:tcW w:w="1260" w:type="dxa"/>
            <w:noWrap/>
            <w:hideMark/>
          </w:tcPr>
          <w:p w14:paraId="7A3B0BE6"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166</w:t>
            </w:r>
          </w:p>
        </w:tc>
        <w:tc>
          <w:tcPr>
            <w:tcW w:w="1530" w:type="dxa"/>
            <w:noWrap/>
            <w:hideMark/>
          </w:tcPr>
          <w:p w14:paraId="46445EC8" w14:textId="77777777" w:rsidR="00FE7205" w:rsidRPr="0016235B" w:rsidRDefault="00FE7205" w:rsidP="00FE7205">
            <w:pPr>
              <w:jc w:val="right"/>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100.0</w:t>
            </w:r>
          </w:p>
        </w:tc>
      </w:tr>
    </w:tbl>
    <w:p w14:paraId="583C88E6" w14:textId="1E86FAE8" w:rsidR="00627675" w:rsidRPr="0016235B" w:rsidRDefault="00627675">
      <w:pPr>
        <w:rPr>
          <w:rFonts w:ascii="Candara" w:hAnsi="Candara"/>
          <w:sz w:val="24"/>
          <w:szCs w:val="24"/>
        </w:rPr>
      </w:pPr>
      <w:r w:rsidRPr="0016235B">
        <w:rPr>
          <w:rFonts w:ascii="Candara" w:hAnsi="Candara"/>
          <w:sz w:val="24"/>
          <w:szCs w:val="24"/>
        </w:rPr>
        <w:br w:type="page"/>
      </w:r>
    </w:p>
    <w:p w14:paraId="5864C616" w14:textId="77777777" w:rsidR="000C35A6" w:rsidRPr="0016235B" w:rsidRDefault="000C35A6" w:rsidP="00996CD9">
      <w:pPr>
        <w:rPr>
          <w:rFonts w:ascii="Candara" w:hAnsi="Candara"/>
          <w:b/>
          <w:color w:val="2F5496" w:themeColor="accent1" w:themeShade="BF"/>
          <w:sz w:val="28"/>
          <w:szCs w:val="28"/>
        </w:rPr>
      </w:pPr>
      <w:r w:rsidRPr="0016235B">
        <w:rPr>
          <w:rFonts w:ascii="Candara" w:hAnsi="Candara"/>
          <w:b/>
          <w:color w:val="2F5496" w:themeColor="accent1" w:themeShade="BF"/>
          <w:sz w:val="28"/>
          <w:szCs w:val="28"/>
        </w:rPr>
        <w:lastRenderedPageBreak/>
        <w:t>General Service Readiness</w:t>
      </w:r>
    </w:p>
    <w:p w14:paraId="5D45CA78" w14:textId="77777777" w:rsidR="000C35A6" w:rsidRPr="0016235B" w:rsidRDefault="000C35A6" w:rsidP="009C5BF8">
      <w:pPr>
        <w:jc w:val="both"/>
        <w:rPr>
          <w:rFonts w:ascii="Candara" w:hAnsi="Candara"/>
          <w:sz w:val="24"/>
          <w:szCs w:val="24"/>
        </w:rPr>
      </w:pPr>
      <w:r w:rsidRPr="0016235B">
        <w:rPr>
          <w:rFonts w:ascii="Candara" w:hAnsi="Candara"/>
          <w:bCs/>
          <w:sz w:val="24"/>
          <w:szCs w:val="24"/>
        </w:rPr>
        <w:t xml:space="preserve">The World Health Organization defines general service readiness as the </w:t>
      </w:r>
      <w:r w:rsidRPr="0016235B">
        <w:rPr>
          <w:rFonts w:ascii="Candara" w:hAnsi="Candara"/>
          <w:sz w:val="24"/>
          <w:szCs w:val="24"/>
        </w:rPr>
        <w:t xml:space="preserve">overall capacity of health facilities to provide general health services. Assessment of general service readiness is based on the presence of items of basic amenities, basic equipment, standard precautions for infection prevention, diagnostic capacity and essential medicines – these five components of general service readiness are also referred to as general service readiness domains. </w:t>
      </w:r>
    </w:p>
    <w:p w14:paraId="59754E0F" w14:textId="77777777" w:rsidR="000C35A6" w:rsidRPr="0016235B" w:rsidRDefault="000C35A6" w:rsidP="009C5BF8">
      <w:pPr>
        <w:jc w:val="both"/>
        <w:rPr>
          <w:rFonts w:ascii="Candara" w:hAnsi="Candara"/>
          <w:sz w:val="24"/>
          <w:szCs w:val="24"/>
        </w:rPr>
      </w:pPr>
      <w:r w:rsidRPr="0016235B">
        <w:rPr>
          <w:rFonts w:ascii="Candara" w:hAnsi="Candara"/>
          <w:sz w:val="24"/>
          <w:szCs w:val="24"/>
        </w:rPr>
        <w:t xml:space="preserve">For each of the domains, assessment of availability of the items is based on the physical presence of the items and confirmation of their functionality by the interviewer i.e. the items are only considered available if they are confirmed by the interviewer to be fully functional. </w:t>
      </w:r>
    </w:p>
    <w:p w14:paraId="3AABF102" w14:textId="1957D6CC" w:rsidR="000C35A6" w:rsidRPr="0016235B" w:rsidRDefault="000C35A6" w:rsidP="000C35A6">
      <w:pPr>
        <w:pStyle w:val="Heading2"/>
        <w:numPr>
          <w:ilvl w:val="1"/>
          <w:numId w:val="25"/>
        </w:numPr>
        <w:rPr>
          <w:rFonts w:ascii="Candara" w:hAnsi="Candara"/>
          <w:b/>
          <w:sz w:val="28"/>
          <w:szCs w:val="28"/>
        </w:rPr>
      </w:pPr>
      <w:bookmarkStart w:id="20" w:name="_Toc11494033"/>
      <w:r w:rsidRPr="0016235B">
        <w:rPr>
          <w:rFonts w:ascii="Candara" w:hAnsi="Candara"/>
          <w:b/>
          <w:sz w:val="28"/>
          <w:szCs w:val="28"/>
        </w:rPr>
        <w:t xml:space="preserve">General </w:t>
      </w:r>
      <w:r w:rsidR="00C94BC8" w:rsidRPr="0016235B">
        <w:rPr>
          <w:rFonts w:ascii="Candara" w:hAnsi="Candara"/>
          <w:b/>
          <w:sz w:val="28"/>
          <w:szCs w:val="28"/>
        </w:rPr>
        <w:t>Service</w:t>
      </w:r>
      <w:r w:rsidRPr="0016235B">
        <w:rPr>
          <w:rFonts w:ascii="Candara" w:hAnsi="Candara"/>
          <w:b/>
          <w:sz w:val="28"/>
          <w:szCs w:val="28"/>
        </w:rPr>
        <w:t xml:space="preserve"> readiness index</w:t>
      </w:r>
      <w:bookmarkEnd w:id="20"/>
    </w:p>
    <w:p w14:paraId="7149A600" w14:textId="4ED4E5C0" w:rsidR="000C35A6" w:rsidRPr="0016235B" w:rsidRDefault="000C35A6" w:rsidP="009C5BF8">
      <w:pPr>
        <w:jc w:val="both"/>
        <w:rPr>
          <w:rFonts w:ascii="Candara" w:hAnsi="Candara"/>
          <w:sz w:val="24"/>
          <w:szCs w:val="24"/>
        </w:rPr>
      </w:pPr>
      <w:r w:rsidRPr="0016235B">
        <w:rPr>
          <w:rFonts w:ascii="Candara" w:hAnsi="Candara"/>
          <w:sz w:val="24"/>
          <w:szCs w:val="24"/>
        </w:rPr>
        <w:t xml:space="preserve">General </w:t>
      </w:r>
      <w:r w:rsidR="00C94BC8" w:rsidRPr="0016235B">
        <w:rPr>
          <w:rFonts w:ascii="Candara" w:hAnsi="Candara"/>
          <w:sz w:val="24"/>
          <w:szCs w:val="24"/>
        </w:rPr>
        <w:t>Service</w:t>
      </w:r>
      <w:r w:rsidRPr="0016235B">
        <w:rPr>
          <w:rFonts w:ascii="Candara" w:hAnsi="Candara"/>
          <w:sz w:val="24"/>
          <w:szCs w:val="24"/>
        </w:rPr>
        <w:t xml:space="preserve"> readiness in this report was derived as a composite index of the five general service readiness domains. First, a score was generated for each domain based on the availability of items of the domain. An overall general readiness score (index) was then calculated as the unweighted mean of the five domains. </w:t>
      </w:r>
    </w:p>
    <w:p w14:paraId="31724AC2" w14:textId="77777777" w:rsidR="000C35A6" w:rsidRPr="0016235B" w:rsidRDefault="000C35A6" w:rsidP="000C35A6">
      <w:pPr>
        <w:spacing w:after="0" w:line="240" w:lineRule="auto"/>
        <w:jc w:val="both"/>
        <w:rPr>
          <w:rFonts w:ascii="Candara" w:eastAsia="Times New Roman" w:hAnsi="Candara" w:cs="Calibri"/>
          <w:b/>
          <w:bCs/>
          <w:color w:val="0033CC"/>
          <w:sz w:val="28"/>
          <w:szCs w:val="28"/>
        </w:rPr>
      </w:pPr>
    </w:p>
    <w:p w14:paraId="08AAB897" w14:textId="77777777" w:rsidR="000C35A6" w:rsidRPr="0016235B" w:rsidRDefault="000C35A6" w:rsidP="000C35A6">
      <w:pPr>
        <w:spacing w:after="0" w:line="240" w:lineRule="auto"/>
        <w:jc w:val="both"/>
        <w:rPr>
          <w:rFonts w:ascii="Candara" w:eastAsia="Times New Roman" w:hAnsi="Candara" w:cs="Calibri"/>
          <w:b/>
          <w:bCs/>
          <w:color w:val="0033CC"/>
          <w:sz w:val="24"/>
          <w:szCs w:val="24"/>
        </w:rPr>
      </w:pPr>
      <w:r w:rsidRPr="0016235B">
        <w:rPr>
          <w:rFonts w:ascii="Candara" w:hAnsi="Candara"/>
          <w:b/>
          <w:sz w:val="24"/>
          <w:szCs w:val="24"/>
        </w:rPr>
        <w:t>General Service readiness index and domain scores (N=166)</w:t>
      </w:r>
    </w:p>
    <w:p w14:paraId="1878309B" w14:textId="77777777" w:rsidR="000C35A6" w:rsidRPr="0016235B" w:rsidRDefault="000C35A6" w:rsidP="000C35A6">
      <w:pPr>
        <w:jc w:val="both"/>
        <w:rPr>
          <w:rFonts w:ascii="Candara" w:hAnsi="Candara"/>
          <w:b/>
          <w:bCs/>
          <w:sz w:val="20"/>
          <w:szCs w:val="20"/>
        </w:rPr>
      </w:pPr>
      <w:r w:rsidRPr="0016235B">
        <w:rPr>
          <w:rFonts w:ascii="Candara" w:hAnsi="Candara"/>
          <w:noProof/>
        </w:rPr>
        <w:drawing>
          <wp:inline distT="0" distB="0" distL="0" distR="0" wp14:anchorId="4FCD95B8" wp14:editId="1CF59B3F">
            <wp:extent cx="5962650" cy="2819400"/>
            <wp:effectExtent l="0" t="0" r="0" b="0"/>
            <wp:docPr id="45" name="Chart 45">
              <a:extLst xmlns:a="http://schemas.openxmlformats.org/drawingml/2006/main">
                <a:ext uri="{FF2B5EF4-FFF2-40B4-BE49-F238E27FC236}">
                  <a16:creationId xmlns:a16="http://schemas.microsoft.com/office/drawing/2014/main" id="{91A2F63A-DD7C-4403-A3EB-55B233C208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5ED632E" w14:textId="77777777" w:rsidR="000C35A6" w:rsidRPr="0016235B" w:rsidRDefault="000C35A6" w:rsidP="000C35A6">
      <w:pPr>
        <w:jc w:val="both"/>
        <w:rPr>
          <w:rFonts w:ascii="Candara" w:hAnsi="Candara"/>
          <w:b/>
          <w:bCs/>
          <w:sz w:val="20"/>
          <w:szCs w:val="20"/>
        </w:rPr>
      </w:pPr>
    </w:p>
    <w:p w14:paraId="14DE397A" w14:textId="77777777" w:rsidR="00C94BC8" w:rsidRPr="0016235B" w:rsidRDefault="00C94BC8">
      <w:pPr>
        <w:rPr>
          <w:rFonts w:ascii="Candara" w:hAnsi="Candara"/>
          <w:b/>
          <w:sz w:val="24"/>
          <w:szCs w:val="24"/>
        </w:rPr>
      </w:pPr>
      <w:r w:rsidRPr="0016235B">
        <w:rPr>
          <w:rFonts w:ascii="Candara" w:hAnsi="Candara"/>
          <w:b/>
          <w:sz w:val="24"/>
          <w:szCs w:val="24"/>
        </w:rPr>
        <w:br w:type="page"/>
      </w:r>
    </w:p>
    <w:p w14:paraId="0F02B062" w14:textId="587ED5D5" w:rsidR="000C35A6" w:rsidRPr="0016235B" w:rsidRDefault="000C35A6" w:rsidP="000C35A6">
      <w:pPr>
        <w:spacing w:after="0" w:line="240" w:lineRule="auto"/>
        <w:jc w:val="both"/>
        <w:rPr>
          <w:rFonts w:ascii="Candara" w:hAnsi="Candara"/>
          <w:b/>
          <w:sz w:val="24"/>
          <w:szCs w:val="24"/>
        </w:rPr>
      </w:pPr>
      <w:r w:rsidRPr="0016235B">
        <w:rPr>
          <w:rFonts w:ascii="Candara" w:hAnsi="Candara"/>
          <w:b/>
          <w:sz w:val="24"/>
          <w:szCs w:val="24"/>
        </w:rPr>
        <w:lastRenderedPageBreak/>
        <w:t xml:space="preserve">General Service readiness index and domain scores, by key equity </w:t>
      </w:r>
      <w:proofErr w:type="spellStart"/>
      <w:r w:rsidRPr="0016235B">
        <w:rPr>
          <w:rFonts w:ascii="Candara" w:hAnsi="Candara"/>
          <w:b/>
          <w:sz w:val="24"/>
          <w:szCs w:val="24"/>
        </w:rPr>
        <w:t>stratifiers</w:t>
      </w:r>
      <w:proofErr w:type="spellEnd"/>
      <w:r w:rsidRPr="0016235B">
        <w:rPr>
          <w:rFonts w:ascii="Candara" w:hAnsi="Candara"/>
          <w:b/>
          <w:sz w:val="24"/>
          <w:szCs w:val="24"/>
        </w:rPr>
        <w:t xml:space="preserve"> (N=166)</w:t>
      </w:r>
    </w:p>
    <w:p w14:paraId="75355CD1" w14:textId="77777777" w:rsidR="000C35A6" w:rsidRPr="0016235B" w:rsidRDefault="000C35A6" w:rsidP="000C35A6">
      <w:pPr>
        <w:jc w:val="both"/>
        <w:rPr>
          <w:rFonts w:ascii="Candara" w:hAnsi="Candara"/>
          <w:b/>
          <w:bCs/>
          <w:sz w:val="20"/>
          <w:szCs w:val="20"/>
        </w:rPr>
      </w:pPr>
      <w:r w:rsidRPr="0016235B">
        <w:rPr>
          <w:rFonts w:ascii="Candara" w:hAnsi="Candara"/>
          <w:noProof/>
        </w:rPr>
        <w:drawing>
          <wp:inline distT="0" distB="0" distL="0" distR="0" wp14:anchorId="15518CD7" wp14:editId="7494DC7C">
            <wp:extent cx="5943600" cy="2962275"/>
            <wp:effectExtent l="0" t="0" r="0" b="9525"/>
            <wp:docPr id="46" name="Chart 46">
              <a:extLst xmlns:a="http://schemas.openxmlformats.org/drawingml/2006/main">
                <a:ext uri="{FF2B5EF4-FFF2-40B4-BE49-F238E27FC236}">
                  <a16:creationId xmlns:a16="http://schemas.microsoft.com/office/drawing/2014/main" id="{2598C64B-3352-4FBF-9655-E10C6EBF95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4FC2C8" w14:textId="77777777" w:rsidR="00C94BC8" w:rsidRPr="0016235B" w:rsidRDefault="00C94BC8" w:rsidP="000C35A6">
      <w:pPr>
        <w:jc w:val="both"/>
        <w:rPr>
          <w:rFonts w:ascii="Candara" w:hAnsi="Candara"/>
          <w:b/>
          <w:bCs/>
          <w:sz w:val="20"/>
          <w:szCs w:val="20"/>
        </w:rPr>
      </w:pPr>
    </w:p>
    <w:tbl>
      <w:tblPr>
        <w:tblStyle w:val="TableGrid"/>
        <w:tblW w:w="9409" w:type="dxa"/>
        <w:tblLook w:val="04A0" w:firstRow="1" w:lastRow="0" w:firstColumn="1" w:lastColumn="0" w:noHBand="0" w:noVBand="1"/>
      </w:tblPr>
      <w:tblGrid>
        <w:gridCol w:w="9409"/>
      </w:tblGrid>
      <w:tr w:rsidR="000C35A6" w:rsidRPr="0016235B" w14:paraId="1AB6515E" w14:textId="77777777" w:rsidTr="009C5BF8">
        <w:trPr>
          <w:trHeight w:val="262"/>
        </w:trPr>
        <w:tc>
          <w:tcPr>
            <w:tcW w:w="9409" w:type="dxa"/>
          </w:tcPr>
          <w:p w14:paraId="1B36A721" w14:textId="77777777" w:rsidR="000C35A6" w:rsidRPr="0016235B" w:rsidRDefault="000C35A6" w:rsidP="009C5BF8">
            <w:pPr>
              <w:rPr>
                <w:rFonts w:ascii="Candara" w:hAnsi="Candara"/>
                <w:b/>
              </w:rPr>
            </w:pPr>
            <w:r w:rsidRPr="0016235B">
              <w:rPr>
                <w:rFonts w:ascii="Candara" w:hAnsi="Candara"/>
                <w:b/>
              </w:rPr>
              <w:t>Key findings</w:t>
            </w:r>
          </w:p>
        </w:tc>
      </w:tr>
      <w:tr w:rsidR="000C35A6" w:rsidRPr="0016235B" w14:paraId="47E8FA0D" w14:textId="77777777" w:rsidTr="009C5BF8">
        <w:trPr>
          <w:trHeight w:val="1502"/>
        </w:trPr>
        <w:tc>
          <w:tcPr>
            <w:tcW w:w="9409" w:type="dxa"/>
          </w:tcPr>
          <w:p w14:paraId="5F5C3559" w14:textId="77777777" w:rsidR="000C35A6" w:rsidRPr="0016235B" w:rsidRDefault="000C35A6" w:rsidP="009C5BF8">
            <w:pPr>
              <w:rPr>
                <w:rFonts w:ascii="Candara" w:hAnsi="Candara"/>
              </w:rPr>
            </w:pPr>
            <w:r w:rsidRPr="0016235B">
              <w:rPr>
                <w:rFonts w:ascii="Candara" w:hAnsi="Candara"/>
              </w:rPr>
              <w:t xml:space="preserve">Readiness or capacity of health facilities in Uganda to provide general services was low. </w:t>
            </w:r>
          </w:p>
          <w:p w14:paraId="6F778BFE" w14:textId="77777777" w:rsidR="000C35A6" w:rsidRPr="0016235B" w:rsidRDefault="000C35A6" w:rsidP="009C5BF8">
            <w:pPr>
              <w:pStyle w:val="ListParagraph"/>
              <w:numPr>
                <w:ilvl w:val="0"/>
                <w:numId w:val="1"/>
              </w:numPr>
              <w:rPr>
                <w:rFonts w:ascii="Candara" w:hAnsi="Candara"/>
              </w:rPr>
            </w:pPr>
            <w:r w:rsidRPr="0016235B">
              <w:rPr>
                <w:rFonts w:ascii="Candara" w:hAnsi="Candara"/>
              </w:rPr>
              <w:t xml:space="preserve">The general service readiness index was only 52%. This can be interpreted to mean that the readiness or capacity of facilities in Uganda to provide general services was only 52%. </w:t>
            </w:r>
          </w:p>
          <w:p w14:paraId="5842885B" w14:textId="77777777" w:rsidR="000C35A6" w:rsidRPr="0016235B" w:rsidRDefault="000C35A6" w:rsidP="009C5BF8">
            <w:pPr>
              <w:pStyle w:val="ListParagraph"/>
              <w:numPr>
                <w:ilvl w:val="0"/>
                <w:numId w:val="1"/>
              </w:numPr>
              <w:rPr>
                <w:rFonts w:ascii="Candara" w:hAnsi="Candara"/>
              </w:rPr>
            </w:pPr>
            <w:r w:rsidRPr="0016235B">
              <w:rPr>
                <w:rFonts w:ascii="Candara" w:hAnsi="Candara"/>
              </w:rPr>
              <w:t xml:space="preserve">Items of standard precaution for infection prevention were generally available and therefore contributed the biggest score to the index. Items of essential medicines and basic equipment were generally scarce and were therefore largely responsible for pulling the index down. </w:t>
            </w:r>
          </w:p>
          <w:p w14:paraId="0B75F948" w14:textId="77777777" w:rsidR="000C35A6" w:rsidRPr="0016235B" w:rsidRDefault="000C35A6" w:rsidP="009C5BF8">
            <w:pPr>
              <w:pStyle w:val="ListParagraph"/>
              <w:numPr>
                <w:ilvl w:val="0"/>
                <w:numId w:val="1"/>
              </w:numPr>
              <w:rPr>
                <w:rFonts w:ascii="Candara" w:hAnsi="Candara"/>
              </w:rPr>
            </w:pPr>
            <w:r w:rsidRPr="0016235B">
              <w:rPr>
                <w:rFonts w:ascii="Candara" w:hAnsi="Candara"/>
              </w:rPr>
              <w:t xml:space="preserve">The index varied substantially by each of the key equity </w:t>
            </w:r>
            <w:proofErr w:type="spellStart"/>
            <w:r w:rsidRPr="0016235B">
              <w:rPr>
                <w:rFonts w:ascii="Candara" w:hAnsi="Candara"/>
              </w:rPr>
              <w:t>stratifiers</w:t>
            </w:r>
            <w:proofErr w:type="spellEnd"/>
            <w:r w:rsidRPr="0016235B">
              <w:rPr>
                <w:rFonts w:ascii="Candara" w:hAnsi="Candara"/>
              </w:rPr>
              <w:t>. It increased with increase in facility level. The index was slightly higher in private than in public facilities, and higher in urban than in rural areas. The index in Mid-West region was higher than elsewhere in the country.</w:t>
            </w:r>
          </w:p>
        </w:tc>
      </w:tr>
    </w:tbl>
    <w:p w14:paraId="0AF034BF" w14:textId="77777777" w:rsidR="00C94BC8" w:rsidRPr="0016235B" w:rsidRDefault="00C94BC8">
      <w:pPr>
        <w:rPr>
          <w:rFonts w:ascii="Candara" w:hAnsi="Candara"/>
          <w:b/>
          <w:sz w:val="28"/>
          <w:szCs w:val="28"/>
        </w:rPr>
      </w:pPr>
    </w:p>
    <w:p w14:paraId="558A403F" w14:textId="77777777" w:rsidR="00C94BC8" w:rsidRPr="0016235B" w:rsidRDefault="00C94BC8">
      <w:pPr>
        <w:rPr>
          <w:rFonts w:ascii="Candara" w:hAnsi="Candara"/>
          <w:b/>
          <w:sz w:val="28"/>
          <w:szCs w:val="28"/>
        </w:rPr>
      </w:pPr>
    </w:p>
    <w:p w14:paraId="357F2E8E" w14:textId="6FD6061F" w:rsidR="00415979" w:rsidRPr="0016235B" w:rsidRDefault="00415979" w:rsidP="005722F2">
      <w:pPr>
        <w:pStyle w:val="Heading2"/>
        <w:numPr>
          <w:ilvl w:val="1"/>
          <w:numId w:val="25"/>
        </w:numPr>
        <w:rPr>
          <w:rFonts w:ascii="Candara" w:hAnsi="Candara"/>
          <w:b/>
          <w:sz w:val="28"/>
          <w:szCs w:val="28"/>
        </w:rPr>
      </w:pPr>
      <w:bookmarkStart w:id="21" w:name="_Toc11494034"/>
      <w:r w:rsidRPr="0016235B">
        <w:rPr>
          <w:rFonts w:ascii="Candara" w:hAnsi="Candara"/>
          <w:b/>
          <w:sz w:val="28"/>
          <w:szCs w:val="28"/>
        </w:rPr>
        <w:t>Basic amenities</w:t>
      </w:r>
      <w:bookmarkEnd w:id="21"/>
    </w:p>
    <w:p w14:paraId="7226D22A" w14:textId="77777777" w:rsidR="00415979" w:rsidRPr="0016235B" w:rsidRDefault="00415979" w:rsidP="00415979">
      <w:pPr>
        <w:spacing w:after="0" w:line="240" w:lineRule="auto"/>
        <w:rPr>
          <w:rFonts w:ascii="Candara" w:hAnsi="Candara"/>
          <w:b/>
          <w:sz w:val="28"/>
          <w:szCs w:val="28"/>
        </w:rPr>
      </w:pPr>
    </w:p>
    <w:p w14:paraId="77C5AB56" w14:textId="77777777" w:rsidR="00441D52" w:rsidRPr="0016235B" w:rsidRDefault="00441D52" w:rsidP="00441D52">
      <w:pPr>
        <w:jc w:val="both"/>
        <w:rPr>
          <w:rFonts w:ascii="Candara" w:eastAsia="MS Mincho" w:hAnsi="Candara"/>
          <w:sz w:val="24"/>
          <w:szCs w:val="24"/>
        </w:rPr>
      </w:pPr>
      <w:r w:rsidRPr="0016235B">
        <w:rPr>
          <w:rFonts w:ascii="Candara" w:eastAsia="MS Mincho" w:hAnsi="Candara"/>
          <w:sz w:val="24"/>
          <w:szCs w:val="24"/>
        </w:rPr>
        <w:t xml:space="preserve">Assessment of availability of basic amenities in health facilities in Uganda was based on the presence of the following seven items that were considered to be particularly important and that were enquired about during the survey:  a power source, improved water source within 500 meters of facility, patient consultation room with auditory and visual privacy,  functional toilets for clients, communication equipment (phone or SW radio), emergency transport, and a computer with email/Internet access. </w:t>
      </w:r>
    </w:p>
    <w:p w14:paraId="3F7F2B69" w14:textId="77777777" w:rsidR="00C94BC8" w:rsidRPr="0016235B" w:rsidRDefault="00C94BC8">
      <w:pPr>
        <w:rPr>
          <w:rFonts w:ascii="Candara" w:hAnsi="Candara" w:cs="Times New Roman"/>
          <w:b/>
          <w:sz w:val="24"/>
          <w:szCs w:val="24"/>
        </w:rPr>
      </w:pPr>
      <w:r w:rsidRPr="0016235B">
        <w:rPr>
          <w:rFonts w:ascii="Candara" w:hAnsi="Candara" w:cs="Times New Roman"/>
          <w:b/>
          <w:sz w:val="24"/>
          <w:szCs w:val="24"/>
        </w:rPr>
        <w:br w:type="page"/>
      </w:r>
    </w:p>
    <w:p w14:paraId="607A279C" w14:textId="33CFA1CE" w:rsidR="00415979" w:rsidRPr="0016235B" w:rsidRDefault="00415979" w:rsidP="00415979">
      <w:pPr>
        <w:jc w:val="both"/>
        <w:rPr>
          <w:rFonts w:ascii="Candara" w:hAnsi="Candara" w:cs="Times New Roman"/>
          <w:b/>
          <w:sz w:val="24"/>
          <w:szCs w:val="24"/>
        </w:rPr>
      </w:pPr>
      <w:r w:rsidRPr="0016235B">
        <w:rPr>
          <w:rFonts w:ascii="Candara" w:hAnsi="Candara" w:cs="Times New Roman"/>
          <w:b/>
          <w:sz w:val="24"/>
          <w:szCs w:val="24"/>
        </w:rPr>
        <w:lastRenderedPageBreak/>
        <w:t>Percentage of facilities with basic amenities items available (N=166)</w:t>
      </w:r>
    </w:p>
    <w:p w14:paraId="494E789E" w14:textId="77777777" w:rsidR="00415979" w:rsidRPr="0016235B" w:rsidRDefault="00415979" w:rsidP="00415979">
      <w:pPr>
        <w:jc w:val="both"/>
        <w:rPr>
          <w:rFonts w:ascii="Candara" w:hAnsi="Candara" w:cs="Times New Roman"/>
          <w:sz w:val="24"/>
          <w:szCs w:val="24"/>
        </w:rPr>
      </w:pPr>
      <w:r w:rsidRPr="0016235B">
        <w:rPr>
          <w:rFonts w:ascii="Candara" w:hAnsi="Candara"/>
          <w:noProof/>
        </w:rPr>
        <w:drawing>
          <wp:inline distT="0" distB="0" distL="0" distR="0" wp14:anchorId="0F3FF3A1" wp14:editId="0016021C">
            <wp:extent cx="5493224" cy="2628900"/>
            <wp:effectExtent l="0" t="0" r="12700" b="0"/>
            <wp:docPr id="51" name="Chart 51">
              <a:extLst xmlns:a="http://schemas.openxmlformats.org/drawingml/2006/main">
                <a:ext uri="{FF2B5EF4-FFF2-40B4-BE49-F238E27FC236}">
                  <a16:creationId xmlns:a16="http://schemas.microsoft.com/office/drawing/2014/main" id="{DC4C0755-2C45-4B1D-96B1-BE0543EB8F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762348" w14:textId="77777777" w:rsidR="00415979" w:rsidRPr="0016235B" w:rsidRDefault="00415979" w:rsidP="00415979">
      <w:pPr>
        <w:rPr>
          <w:rFonts w:ascii="Candara" w:hAnsi="Candara"/>
          <w:b/>
        </w:rPr>
      </w:pPr>
    </w:p>
    <w:p w14:paraId="693471D9" w14:textId="77777777" w:rsidR="00415979" w:rsidRPr="0016235B" w:rsidRDefault="00415979" w:rsidP="00415979">
      <w:pPr>
        <w:jc w:val="both"/>
        <w:rPr>
          <w:rFonts w:ascii="Candara" w:hAnsi="Candara" w:cs="Times New Roman"/>
          <w:b/>
          <w:sz w:val="24"/>
          <w:szCs w:val="24"/>
        </w:rPr>
      </w:pPr>
      <w:r w:rsidRPr="0016235B">
        <w:rPr>
          <w:rFonts w:ascii="Candara" w:hAnsi="Candara" w:cs="Times New Roman"/>
          <w:b/>
          <w:sz w:val="24"/>
          <w:szCs w:val="24"/>
        </w:rPr>
        <w:t xml:space="preserve">Mean availability of the tracer items of basic amenities, by key equity </w:t>
      </w:r>
      <w:proofErr w:type="spellStart"/>
      <w:r w:rsidRPr="0016235B">
        <w:rPr>
          <w:rFonts w:ascii="Candara" w:hAnsi="Candara" w:cs="Times New Roman"/>
          <w:b/>
          <w:sz w:val="24"/>
          <w:szCs w:val="24"/>
        </w:rPr>
        <w:t>stratifiers</w:t>
      </w:r>
      <w:proofErr w:type="spellEnd"/>
      <w:r w:rsidRPr="0016235B">
        <w:rPr>
          <w:rFonts w:ascii="Candara" w:hAnsi="Candara" w:cs="Times New Roman"/>
          <w:b/>
          <w:sz w:val="24"/>
          <w:szCs w:val="24"/>
        </w:rPr>
        <w:t xml:space="preserve"> (N=166)</w:t>
      </w:r>
    </w:p>
    <w:p w14:paraId="1C0072DE" w14:textId="77777777" w:rsidR="00415979" w:rsidRPr="0016235B" w:rsidRDefault="00415979" w:rsidP="00415979">
      <w:pPr>
        <w:jc w:val="both"/>
        <w:rPr>
          <w:rFonts w:ascii="Candara" w:hAnsi="Candara" w:cs="Times New Roman"/>
        </w:rPr>
      </w:pPr>
      <w:r w:rsidRPr="0016235B">
        <w:rPr>
          <w:rFonts w:ascii="Candara" w:hAnsi="Candara"/>
          <w:noProof/>
        </w:rPr>
        <w:drawing>
          <wp:inline distT="0" distB="0" distL="0" distR="0" wp14:anchorId="6C4A7E59" wp14:editId="0DCF4FC5">
            <wp:extent cx="5724525" cy="4000500"/>
            <wp:effectExtent l="0" t="0" r="9525" b="0"/>
            <wp:docPr id="62" name="Chart 62">
              <a:extLst xmlns:a="http://schemas.openxmlformats.org/drawingml/2006/main">
                <a:ext uri="{FF2B5EF4-FFF2-40B4-BE49-F238E27FC236}">
                  <a16:creationId xmlns:a16="http://schemas.microsoft.com/office/drawing/2014/main" id="{1DFBCED5-954D-4961-9831-89198B9B73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B1313E" w14:textId="77777777" w:rsidR="00C94BC8" w:rsidRPr="0016235B" w:rsidRDefault="00C94BC8" w:rsidP="00415979">
      <w:pPr>
        <w:jc w:val="both"/>
        <w:rPr>
          <w:rFonts w:ascii="Candara" w:hAnsi="Candara" w:cs="Times New Roman"/>
        </w:rPr>
      </w:pPr>
    </w:p>
    <w:p w14:paraId="04BABFB0" w14:textId="77777777" w:rsidR="00C94BC8" w:rsidRPr="0016235B" w:rsidRDefault="00C94BC8" w:rsidP="00415979">
      <w:pPr>
        <w:jc w:val="both"/>
        <w:rPr>
          <w:rFonts w:ascii="Candara" w:hAnsi="Candara" w:cs="Times New Roman"/>
        </w:rPr>
      </w:pPr>
    </w:p>
    <w:p w14:paraId="0B588434" w14:textId="77777777" w:rsidR="00C94BC8" w:rsidRPr="0016235B" w:rsidRDefault="00C94BC8" w:rsidP="00415979">
      <w:pPr>
        <w:jc w:val="both"/>
        <w:rPr>
          <w:rFonts w:ascii="Candara" w:hAnsi="Candara" w:cs="Times New Roman"/>
        </w:rPr>
      </w:pPr>
    </w:p>
    <w:p w14:paraId="5DD47A62" w14:textId="77777777" w:rsidR="00C94BC8" w:rsidRPr="0016235B" w:rsidRDefault="00C94BC8" w:rsidP="00415979">
      <w:pPr>
        <w:jc w:val="both"/>
        <w:rPr>
          <w:rFonts w:ascii="Candara" w:hAnsi="Candara" w:cs="Times New Roman"/>
        </w:rPr>
      </w:pPr>
    </w:p>
    <w:p w14:paraId="3B67E3FC" w14:textId="77777777" w:rsidR="00C94BC8" w:rsidRPr="0016235B" w:rsidRDefault="00C94BC8" w:rsidP="00415979">
      <w:pPr>
        <w:jc w:val="both"/>
        <w:rPr>
          <w:rFonts w:ascii="Candara" w:hAnsi="Candara" w:cs="Times New Roman"/>
        </w:rPr>
      </w:pPr>
    </w:p>
    <w:tbl>
      <w:tblPr>
        <w:tblStyle w:val="TableGrid"/>
        <w:tblW w:w="9409" w:type="dxa"/>
        <w:tblLook w:val="04A0" w:firstRow="1" w:lastRow="0" w:firstColumn="1" w:lastColumn="0" w:noHBand="0" w:noVBand="1"/>
      </w:tblPr>
      <w:tblGrid>
        <w:gridCol w:w="9409"/>
      </w:tblGrid>
      <w:tr w:rsidR="00FF2682" w:rsidRPr="0016235B" w14:paraId="1AC72B8B" w14:textId="77777777" w:rsidTr="00FF2682">
        <w:trPr>
          <w:trHeight w:val="262"/>
        </w:trPr>
        <w:tc>
          <w:tcPr>
            <w:tcW w:w="9409" w:type="dxa"/>
          </w:tcPr>
          <w:p w14:paraId="04F08912" w14:textId="77777777" w:rsidR="00FF2682" w:rsidRPr="0016235B" w:rsidRDefault="00FF2682" w:rsidP="00FF2682">
            <w:pPr>
              <w:rPr>
                <w:rFonts w:ascii="Candara" w:hAnsi="Candara"/>
                <w:b/>
              </w:rPr>
            </w:pPr>
            <w:r w:rsidRPr="0016235B">
              <w:rPr>
                <w:rFonts w:ascii="Candara" w:hAnsi="Candara"/>
                <w:b/>
              </w:rPr>
              <w:lastRenderedPageBreak/>
              <w:t>Key findings</w:t>
            </w:r>
          </w:p>
        </w:tc>
      </w:tr>
      <w:tr w:rsidR="00FF2682" w:rsidRPr="0016235B" w14:paraId="6C867A86" w14:textId="77777777" w:rsidTr="00FF2682">
        <w:trPr>
          <w:trHeight w:val="2663"/>
        </w:trPr>
        <w:tc>
          <w:tcPr>
            <w:tcW w:w="9409" w:type="dxa"/>
          </w:tcPr>
          <w:p w14:paraId="20480C79" w14:textId="77777777" w:rsidR="001E768F" w:rsidRPr="0016235B" w:rsidRDefault="001E768F" w:rsidP="001E768F">
            <w:pPr>
              <w:spacing w:after="120" w:line="264" w:lineRule="auto"/>
              <w:ind w:right="93"/>
              <w:jc w:val="both"/>
              <w:rPr>
                <w:rFonts w:ascii="Candara" w:hAnsi="Candara" w:cs="Times New Roman"/>
              </w:rPr>
            </w:pPr>
            <w:r w:rsidRPr="0016235B">
              <w:rPr>
                <w:rFonts w:ascii="Candara" w:hAnsi="Candara" w:cs="Times New Roman"/>
              </w:rPr>
              <w:t>Availability of basic amenities in Uganda was quite low. Of the seven items that were enquired about during the survey:</w:t>
            </w:r>
          </w:p>
          <w:p w14:paraId="07134538" w14:textId="77777777" w:rsidR="001E768F" w:rsidRPr="0016235B" w:rsidRDefault="001E768F" w:rsidP="001E768F">
            <w:pPr>
              <w:pStyle w:val="ListParagraph"/>
              <w:numPr>
                <w:ilvl w:val="0"/>
                <w:numId w:val="1"/>
              </w:numPr>
              <w:spacing w:after="120" w:line="264" w:lineRule="auto"/>
              <w:ind w:right="93"/>
              <w:jc w:val="both"/>
              <w:rPr>
                <w:rFonts w:ascii="Candara" w:hAnsi="Candara" w:cs="Times New Roman"/>
              </w:rPr>
            </w:pPr>
            <w:r w:rsidRPr="0016235B">
              <w:rPr>
                <w:rFonts w:ascii="Candara" w:hAnsi="Candara" w:cs="Times New Roman"/>
              </w:rPr>
              <w:t xml:space="preserve">None of the facilities in Uganda had all of them. </w:t>
            </w:r>
          </w:p>
          <w:p w14:paraId="09531EDC" w14:textId="77777777" w:rsidR="001E768F" w:rsidRPr="0016235B" w:rsidRDefault="001E768F" w:rsidP="001E768F">
            <w:pPr>
              <w:pStyle w:val="ListParagraph"/>
              <w:numPr>
                <w:ilvl w:val="0"/>
                <w:numId w:val="1"/>
              </w:numPr>
              <w:spacing w:after="120" w:line="264" w:lineRule="auto"/>
              <w:ind w:right="93"/>
              <w:jc w:val="both"/>
              <w:rPr>
                <w:rFonts w:ascii="Candara" w:hAnsi="Candara" w:cs="Times New Roman"/>
              </w:rPr>
            </w:pPr>
            <w:r w:rsidRPr="0016235B">
              <w:rPr>
                <w:rFonts w:ascii="Candara" w:hAnsi="Candara" w:cs="Times New Roman"/>
              </w:rPr>
              <w:t>On average, facilities had only four of the seven items that were enquired about.</w:t>
            </w:r>
          </w:p>
          <w:p w14:paraId="54D38329" w14:textId="77777777" w:rsidR="001E768F" w:rsidRPr="0016235B" w:rsidRDefault="001E768F" w:rsidP="001E768F">
            <w:pPr>
              <w:pStyle w:val="ListParagraph"/>
              <w:numPr>
                <w:ilvl w:val="0"/>
                <w:numId w:val="1"/>
              </w:numPr>
              <w:spacing w:after="120" w:line="264" w:lineRule="auto"/>
              <w:ind w:right="93"/>
              <w:jc w:val="both"/>
              <w:rPr>
                <w:rFonts w:ascii="Candara" w:hAnsi="Candara" w:cs="Times New Roman"/>
              </w:rPr>
            </w:pPr>
            <w:r w:rsidRPr="0016235B">
              <w:rPr>
                <w:rFonts w:ascii="Candara" w:hAnsi="Candara" w:cs="Times New Roman"/>
              </w:rPr>
              <w:t xml:space="preserve">Some items were highly available, and others were quite rare. For example, a functioning toilet was universally available but a computer with internet and communication equipment were available in less than half of the facilities. </w:t>
            </w:r>
          </w:p>
          <w:p w14:paraId="515BA04C" w14:textId="77777777" w:rsidR="001E768F" w:rsidRPr="0016235B" w:rsidRDefault="001E768F" w:rsidP="001E768F">
            <w:pPr>
              <w:pStyle w:val="ListParagraph"/>
              <w:numPr>
                <w:ilvl w:val="0"/>
                <w:numId w:val="1"/>
              </w:numPr>
              <w:spacing w:after="120" w:line="264" w:lineRule="auto"/>
              <w:ind w:right="93"/>
              <w:jc w:val="both"/>
              <w:rPr>
                <w:rFonts w:ascii="Candara" w:hAnsi="Candara" w:cs="Times New Roman"/>
              </w:rPr>
            </w:pPr>
            <w:r w:rsidRPr="0016235B">
              <w:rPr>
                <w:rFonts w:ascii="Candara" w:hAnsi="Candara" w:cs="Times New Roman"/>
              </w:rPr>
              <w:t xml:space="preserve">Availability of the items differed by facility level, with the availability increasing with increase in level of facility. </w:t>
            </w:r>
          </w:p>
          <w:p w14:paraId="43216CBC" w14:textId="77777777" w:rsidR="001E768F" w:rsidRPr="0016235B" w:rsidRDefault="001E768F" w:rsidP="001E768F">
            <w:pPr>
              <w:pStyle w:val="ListParagraph"/>
              <w:numPr>
                <w:ilvl w:val="0"/>
                <w:numId w:val="1"/>
              </w:numPr>
              <w:spacing w:after="120" w:line="264" w:lineRule="auto"/>
              <w:ind w:right="93"/>
              <w:jc w:val="both"/>
              <w:rPr>
                <w:rFonts w:ascii="Candara" w:hAnsi="Candara" w:cs="Times New Roman"/>
              </w:rPr>
            </w:pPr>
            <w:r w:rsidRPr="0016235B">
              <w:rPr>
                <w:rFonts w:ascii="Candara" w:hAnsi="Candara" w:cs="Times New Roman"/>
              </w:rPr>
              <w:t xml:space="preserve">Regional differences were quite wide, with up to 29 percentage points difference between the top and bottom regions. The availability in Kampala region was higher than elsewhere in the country.  </w:t>
            </w:r>
          </w:p>
          <w:p w14:paraId="74553C10" w14:textId="77777777" w:rsidR="001E768F" w:rsidRPr="0016235B" w:rsidRDefault="001E768F" w:rsidP="001E768F">
            <w:pPr>
              <w:pStyle w:val="ListParagraph"/>
              <w:numPr>
                <w:ilvl w:val="0"/>
                <w:numId w:val="1"/>
              </w:numPr>
              <w:spacing w:after="120" w:line="264" w:lineRule="auto"/>
              <w:ind w:right="93"/>
              <w:jc w:val="both"/>
              <w:rPr>
                <w:rFonts w:ascii="Candara" w:hAnsi="Candara" w:cs="Times New Roman"/>
              </w:rPr>
            </w:pPr>
            <w:r w:rsidRPr="0016235B">
              <w:rPr>
                <w:rFonts w:ascii="Candara" w:hAnsi="Candara" w:cs="Times New Roman"/>
              </w:rPr>
              <w:t>The urban-rural and public-private gap was small, but the availability was higher in urban than in rural facilities, and higher in private than in public facilities.</w:t>
            </w:r>
          </w:p>
          <w:p w14:paraId="35FAAB32" w14:textId="77777777" w:rsidR="00FF2682" w:rsidRPr="0016235B" w:rsidRDefault="00FF2682" w:rsidP="00FF2682">
            <w:pPr>
              <w:pStyle w:val="ListParagraph"/>
              <w:jc w:val="both"/>
              <w:rPr>
                <w:rFonts w:ascii="Candara" w:hAnsi="Candara"/>
              </w:rPr>
            </w:pPr>
          </w:p>
        </w:tc>
      </w:tr>
    </w:tbl>
    <w:p w14:paraId="0FCF2D8C" w14:textId="3950360C" w:rsidR="00415979" w:rsidRPr="0016235B" w:rsidRDefault="00415979" w:rsidP="00415979">
      <w:pPr>
        <w:ind w:left="720"/>
        <w:jc w:val="both"/>
        <w:rPr>
          <w:rFonts w:ascii="Candara" w:hAnsi="Candara"/>
          <w:b/>
        </w:rPr>
      </w:pPr>
    </w:p>
    <w:p w14:paraId="7E1763F5" w14:textId="77777777" w:rsidR="00FF2682" w:rsidRPr="0016235B" w:rsidRDefault="00FF2682" w:rsidP="00415979">
      <w:pPr>
        <w:ind w:left="720"/>
        <w:jc w:val="both"/>
        <w:rPr>
          <w:rFonts w:ascii="Candara" w:hAnsi="Candara"/>
          <w:b/>
        </w:rPr>
      </w:pPr>
    </w:p>
    <w:p w14:paraId="5561D5CC" w14:textId="2BFC3757" w:rsidR="00010AF8" w:rsidRPr="0016235B" w:rsidRDefault="00941602" w:rsidP="005722F2">
      <w:pPr>
        <w:pStyle w:val="Heading2"/>
        <w:numPr>
          <w:ilvl w:val="1"/>
          <w:numId w:val="25"/>
        </w:numPr>
        <w:rPr>
          <w:rFonts w:ascii="Candara" w:hAnsi="Candara"/>
          <w:b/>
          <w:sz w:val="28"/>
          <w:szCs w:val="28"/>
        </w:rPr>
      </w:pPr>
      <w:bookmarkStart w:id="22" w:name="_Toc11494035"/>
      <w:r w:rsidRPr="0016235B">
        <w:rPr>
          <w:rFonts w:ascii="Candara" w:hAnsi="Candara"/>
          <w:b/>
          <w:sz w:val="28"/>
          <w:szCs w:val="28"/>
        </w:rPr>
        <w:t>Basic Equipment</w:t>
      </w:r>
      <w:bookmarkEnd w:id="22"/>
    </w:p>
    <w:p w14:paraId="78AB75F9" w14:textId="77777777" w:rsidR="00FF2682" w:rsidRPr="0016235B" w:rsidRDefault="00FF2682" w:rsidP="00E206DB">
      <w:pPr>
        <w:autoSpaceDE w:val="0"/>
        <w:autoSpaceDN w:val="0"/>
        <w:adjustRightInd w:val="0"/>
        <w:snapToGrid w:val="0"/>
        <w:spacing w:after="0" w:line="240" w:lineRule="auto"/>
        <w:jc w:val="both"/>
        <w:rPr>
          <w:rFonts w:ascii="Candara" w:eastAsia="MS Mincho" w:hAnsi="Candara"/>
          <w:sz w:val="24"/>
          <w:szCs w:val="24"/>
        </w:rPr>
      </w:pPr>
    </w:p>
    <w:p w14:paraId="1901E39B" w14:textId="77777777" w:rsidR="001E768F" w:rsidRPr="0016235B" w:rsidRDefault="001E768F" w:rsidP="001E768F">
      <w:pPr>
        <w:autoSpaceDE w:val="0"/>
        <w:autoSpaceDN w:val="0"/>
        <w:adjustRightInd w:val="0"/>
        <w:snapToGrid w:val="0"/>
        <w:spacing w:after="0" w:line="240" w:lineRule="auto"/>
        <w:jc w:val="both"/>
        <w:rPr>
          <w:rFonts w:ascii="Candara" w:eastAsia="MS Mincho" w:hAnsi="Candara"/>
          <w:sz w:val="24"/>
          <w:szCs w:val="24"/>
        </w:rPr>
      </w:pPr>
      <w:r w:rsidRPr="0016235B">
        <w:rPr>
          <w:rFonts w:ascii="Candara" w:eastAsia="MS Mincho" w:hAnsi="Candara"/>
          <w:sz w:val="24"/>
          <w:szCs w:val="24"/>
        </w:rPr>
        <w:t>Assessment of availability of basic equipment in health facilities in Uganda was based on the presence of the following 21 items: : a stethoscope, blood pressure apparatus, thermometer, measuring tape-height board/stadiometer, intravenous infusion kits, adult weighing scale, light source for patient examinations, child weighing scale-250g gradation, infant weighing scale-100g gradation, Newborn bag and mask size 0, suction bulb, Penguin sucker - sterilizable, Oxygen concentrator, Oxygen cylinder, Oxygen delivery apparatus and Central Oxygen Supply. The items were considered available if they were observed and confirmed to be functional.</w:t>
      </w:r>
    </w:p>
    <w:p w14:paraId="5E9CF9EE" w14:textId="77777777" w:rsidR="00E46B92" w:rsidRPr="0016235B" w:rsidRDefault="00E46B92" w:rsidP="00E206DB">
      <w:pPr>
        <w:autoSpaceDE w:val="0"/>
        <w:autoSpaceDN w:val="0"/>
        <w:adjustRightInd w:val="0"/>
        <w:snapToGrid w:val="0"/>
        <w:spacing w:after="0" w:line="240" w:lineRule="auto"/>
        <w:jc w:val="both"/>
        <w:rPr>
          <w:rFonts w:ascii="Candara" w:eastAsia="Times New Roman" w:hAnsi="Candara" w:cstheme="minorHAnsi"/>
          <w:color w:val="000000"/>
          <w:szCs w:val="24"/>
          <w:lang w:val="x-none"/>
        </w:rPr>
      </w:pPr>
    </w:p>
    <w:p w14:paraId="093878DF" w14:textId="141CA0D4" w:rsidR="00196288" w:rsidRPr="0016235B" w:rsidRDefault="00C7109E" w:rsidP="00E206DB">
      <w:pPr>
        <w:spacing w:after="0" w:line="240" w:lineRule="auto"/>
        <w:rPr>
          <w:rFonts w:ascii="Candara" w:eastAsia="Times New Roman" w:hAnsi="Candara" w:cstheme="minorHAnsi"/>
          <w:b/>
          <w:bCs/>
          <w:color w:val="0033CC"/>
          <w:sz w:val="24"/>
          <w:szCs w:val="24"/>
        </w:rPr>
      </w:pPr>
      <w:r w:rsidRPr="0016235B">
        <w:rPr>
          <w:rFonts w:ascii="Candara" w:eastAsia="Times New Roman" w:hAnsi="Candara" w:cs="Times New Roman"/>
          <w:color w:val="000000"/>
          <w:szCs w:val="24"/>
          <w:lang w:val="x-none"/>
        </w:rPr>
        <w:t xml:space="preserve"> </w:t>
      </w:r>
      <w:r w:rsidR="00CF7A31" w:rsidRPr="0016235B">
        <w:rPr>
          <w:rFonts w:ascii="Candara" w:eastAsia="Times New Roman" w:hAnsi="Candara" w:cstheme="minorHAnsi"/>
          <w:b/>
          <w:bCs/>
          <w:sz w:val="24"/>
          <w:szCs w:val="24"/>
          <w:u w:val="single"/>
        </w:rPr>
        <w:t xml:space="preserve">Percent of facilities with items of medical equipment that were </w:t>
      </w:r>
      <w:r w:rsidR="00E206DB" w:rsidRPr="0016235B">
        <w:rPr>
          <w:rFonts w:ascii="Candara" w:eastAsia="Times New Roman" w:hAnsi="Candara" w:cstheme="minorHAnsi"/>
          <w:b/>
          <w:bCs/>
          <w:sz w:val="24"/>
          <w:szCs w:val="24"/>
          <w:u w:val="single"/>
        </w:rPr>
        <w:t>assessed</w:t>
      </w:r>
      <w:r w:rsidR="00B71287" w:rsidRPr="0016235B">
        <w:rPr>
          <w:rFonts w:ascii="Candara" w:eastAsia="Times New Roman" w:hAnsi="Candara" w:cstheme="minorHAnsi"/>
          <w:b/>
          <w:bCs/>
          <w:sz w:val="24"/>
          <w:szCs w:val="24"/>
          <w:u w:val="single"/>
        </w:rPr>
        <w:t xml:space="preserve"> (N=166</w:t>
      </w:r>
      <w:r w:rsidR="00CF7A31" w:rsidRPr="0016235B">
        <w:rPr>
          <w:rFonts w:ascii="Candara" w:eastAsia="Times New Roman" w:hAnsi="Candara" w:cstheme="minorHAnsi"/>
          <w:b/>
          <w:bCs/>
          <w:sz w:val="24"/>
          <w:szCs w:val="24"/>
          <w:u w:val="single"/>
        </w:rPr>
        <w:t>)</w:t>
      </w:r>
    </w:p>
    <w:p w14:paraId="16DC4424" w14:textId="508E99E9" w:rsidR="0069718F" w:rsidRPr="0016235B" w:rsidRDefault="0069718F" w:rsidP="00C7109E">
      <w:pPr>
        <w:rPr>
          <w:rFonts w:ascii="Candara" w:hAnsi="Candara"/>
        </w:rPr>
      </w:pPr>
      <w:r w:rsidRPr="0016235B">
        <w:rPr>
          <w:rFonts w:ascii="Candara" w:hAnsi="Candara"/>
          <w:noProof/>
        </w:rPr>
        <w:lastRenderedPageBreak/>
        <w:drawing>
          <wp:inline distT="0" distB="0" distL="0" distR="0" wp14:anchorId="61081E7F" wp14:editId="47115473">
            <wp:extent cx="5941695" cy="3371850"/>
            <wp:effectExtent l="19050" t="19050" r="20955"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9712" cy="3393424"/>
                    </a:xfrm>
                    <a:prstGeom prst="rect">
                      <a:avLst/>
                    </a:prstGeom>
                    <a:noFill/>
                    <a:ln w="19050">
                      <a:solidFill>
                        <a:schemeClr val="accent1"/>
                      </a:solidFill>
                    </a:ln>
                  </pic:spPr>
                </pic:pic>
              </a:graphicData>
            </a:graphic>
          </wp:inline>
        </w:drawing>
      </w:r>
    </w:p>
    <w:p w14:paraId="23E845FB" w14:textId="36089827" w:rsidR="00C7109E" w:rsidRPr="0016235B" w:rsidRDefault="00C7109E" w:rsidP="00E206DB">
      <w:pPr>
        <w:spacing w:after="0" w:line="240" w:lineRule="auto"/>
        <w:rPr>
          <w:rFonts w:ascii="Candara" w:eastAsia="Times New Roman" w:hAnsi="Candara" w:cstheme="minorHAnsi"/>
          <w:b/>
          <w:bCs/>
          <w:sz w:val="24"/>
          <w:szCs w:val="24"/>
          <w:u w:val="single"/>
        </w:rPr>
      </w:pPr>
      <w:r w:rsidRPr="0016235B">
        <w:rPr>
          <w:rFonts w:ascii="Candara" w:eastAsia="Times New Roman" w:hAnsi="Candara" w:cstheme="minorHAnsi"/>
          <w:b/>
          <w:bCs/>
          <w:sz w:val="24"/>
          <w:szCs w:val="24"/>
          <w:u w:val="single"/>
        </w:rPr>
        <w:t xml:space="preserve">Mean availability of items of medical equipment, by key equity </w:t>
      </w:r>
      <w:proofErr w:type="spellStart"/>
      <w:r w:rsidRPr="0016235B">
        <w:rPr>
          <w:rFonts w:ascii="Candara" w:eastAsia="Times New Roman" w:hAnsi="Candara" w:cstheme="minorHAnsi"/>
          <w:b/>
          <w:bCs/>
          <w:sz w:val="24"/>
          <w:szCs w:val="24"/>
          <w:u w:val="single"/>
        </w:rPr>
        <w:t>stratifiers</w:t>
      </w:r>
      <w:proofErr w:type="spellEnd"/>
      <w:r w:rsidRPr="0016235B">
        <w:rPr>
          <w:rFonts w:ascii="Candara" w:eastAsia="Times New Roman" w:hAnsi="Candara" w:cstheme="minorHAnsi"/>
          <w:b/>
          <w:bCs/>
          <w:sz w:val="24"/>
          <w:szCs w:val="24"/>
          <w:u w:val="single"/>
        </w:rPr>
        <w:t xml:space="preserve"> (N=16</w:t>
      </w:r>
      <w:r w:rsidR="00C14D24" w:rsidRPr="0016235B">
        <w:rPr>
          <w:rFonts w:ascii="Candara" w:eastAsia="Times New Roman" w:hAnsi="Candara" w:cstheme="minorHAnsi"/>
          <w:b/>
          <w:bCs/>
          <w:sz w:val="24"/>
          <w:szCs w:val="24"/>
          <w:u w:val="single"/>
        </w:rPr>
        <w:t>6</w:t>
      </w:r>
      <w:r w:rsidRPr="0016235B">
        <w:rPr>
          <w:rFonts w:ascii="Candara" w:eastAsia="Times New Roman" w:hAnsi="Candara" w:cstheme="minorHAnsi"/>
          <w:b/>
          <w:bCs/>
          <w:sz w:val="24"/>
          <w:szCs w:val="24"/>
          <w:u w:val="single"/>
        </w:rPr>
        <w:t>)</w:t>
      </w:r>
    </w:p>
    <w:p w14:paraId="20D17272" w14:textId="77777777" w:rsidR="00C7109E" w:rsidRPr="0016235B" w:rsidRDefault="00C7109E" w:rsidP="00C7109E">
      <w:pPr>
        <w:rPr>
          <w:rFonts w:ascii="Candara" w:hAnsi="Candara"/>
        </w:rPr>
      </w:pPr>
      <w:r w:rsidRPr="0016235B">
        <w:rPr>
          <w:rFonts w:ascii="Candara" w:hAnsi="Candara"/>
          <w:noProof/>
        </w:rPr>
        <w:drawing>
          <wp:inline distT="0" distB="0" distL="0" distR="0" wp14:anchorId="1E20451A" wp14:editId="7466E8EE">
            <wp:extent cx="5981700" cy="3314700"/>
            <wp:effectExtent l="0" t="0" r="0" b="0"/>
            <wp:docPr id="2" name="Chart 2">
              <a:extLst xmlns:a="http://schemas.openxmlformats.org/drawingml/2006/main">
                <a:ext uri="{FF2B5EF4-FFF2-40B4-BE49-F238E27FC236}">
                  <a16:creationId xmlns:a16="http://schemas.microsoft.com/office/drawing/2014/main" id="{E15A0435-560D-4016-BDC5-D853DF3C80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873800E" w14:textId="77777777" w:rsidR="00627675" w:rsidRPr="0016235B" w:rsidRDefault="00627675" w:rsidP="00196288">
      <w:pPr>
        <w:rPr>
          <w:rFonts w:ascii="Candara" w:hAnsi="Candara"/>
        </w:rPr>
      </w:pPr>
    </w:p>
    <w:tbl>
      <w:tblPr>
        <w:tblStyle w:val="TableGrid"/>
        <w:tblW w:w="9409" w:type="dxa"/>
        <w:tblLook w:val="04A0" w:firstRow="1" w:lastRow="0" w:firstColumn="1" w:lastColumn="0" w:noHBand="0" w:noVBand="1"/>
      </w:tblPr>
      <w:tblGrid>
        <w:gridCol w:w="9409"/>
      </w:tblGrid>
      <w:tr w:rsidR="00CC1C61" w:rsidRPr="0016235B" w14:paraId="5D333EB7" w14:textId="77777777" w:rsidTr="00C7109E">
        <w:trPr>
          <w:trHeight w:val="262"/>
        </w:trPr>
        <w:tc>
          <w:tcPr>
            <w:tcW w:w="9409" w:type="dxa"/>
          </w:tcPr>
          <w:p w14:paraId="500B511A" w14:textId="0AAC83B6" w:rsidR="00CC1C61" w:rsidRPr="0016235B" w:rsidRDefault="00CC1C61" w:rsidP="00196288">
            <w:pPr>
              <w:rPr>
                <w:rFonts w:ascii="Candara" w:hAnsi="Candara"/>
                <w:b/>
              </w:rPr>
            </w:pPr>
            <w:r w:rsidRPr="0016235B">
              <w:rPr>
                <w:rFonts w:ascii="Candara" w:hAnsi="Candara"/>
                <w:b/>
              </w:rPr>
              <w:t>Key findings</w:t>
            </w:r>
          </w:p>
        </w:tc>
      </w:tr>
      <w:tr w:rsidR="00CC1C61" w:rsidRPr="0016235B" w14:paraId="39D4F84B" w14:textId="77777777" w:rsidTr="00C7109E">
        <w:trPr>
          <w:trHeight w:val="2663"/>
        </w:trPr>
        <w:tc>
          <w:tcPr>
            <w:tcW w:w="9409" w:type="dxa"/>
          </w:tcPr>
          <w:p w14:paraId="3BEEDC49" w14:textId="77777777" w:rsidR="00CC1C61" w:rsidRPr="0016235B" w:rsidRDefault="00CC1C61" w:rsidP="008A3E84">
            <w:pPr>
              <w:pStyle w:val="ListParagraph"/>
              <w:numPr>
                <w:ilvl w:val="0"/>
                <w:numId w:val="1"/>
              </w:numPr>
              <w:jc w:val="both"/>
              <w:rPr>
                <w:rFonts w:ascii="Candara" w:hAnsi="Candara"/>
              </w:rPr>
            </w:pPr>
            <w:r w:rsidRPr="0016235B">
              <w:rPr>
                <w:rFonts w:ascii="Candara" w:hAnsi="Candara"/>
              </w:rPr>
              <w:t>Mean availability of functional medical equipment was 37%</w:t>
            </w:r>
          </w:p>
          <w:p w14:paraId="0EE2C1B2" w14:textId="626F3517" w:rsidR="00CC1C61" w:rsidRPr="0016235B" w:rsidRDefault="00CC1C61" w:rsidP="008A3E84">
            <w:pPr>
              <w:pStyle w:val="ListParagraph"/>
              <w:numPr>
                <w:ilvl w:val="0"/>
                <w:numId w:val="1"/>
              </w:numPr>
              <w:jc w:val="both"/>
              <w:rPr>
                <w:rFonts w:ascii="Candara" w:hAnsi="Candara"/>
              </w:rPr>
            </w:pPr>
            <w:r w:rsidRPr="0016235B">
              <w:rPr>
                <w:rFonts w:ascii="Candara" w:hAnsi="Candara"/>
              </w:rPr>
              <w:t xml:space="preserve">Only 3% of the </w:t>
            </w:r>
            <w:r w:rsidR="00FC192E" w:rsidRPr="0016235B">
              <w:rPr>
                <w:rFonts w:ascii="Candara" w:hAnsi="Candara"/>
              </w:rPr>
              <w:t>f</w:t>
            </w:r>
            <w:r w:rsidRPr="0016235B">
              <w:rPr>
                <w:rFonts w:ascii="Candara" w:hAnsi="Candara"/>
              </w:rPr>
              <w:t>a</w:t>
            </w:r>
            <w:r w:rsidR="00FC192E" w:rsidRPr="0016235B">
              <w:rPr>
                <w:rFonts w:ascii="Candara" w:hAnsi="Candara"/>
              </w:rPr>
              <w:t>c</w:t>
            </w:r>
            <w:r w:rsidRPr="0016235B">
              <w:rPr>
                <w:rFonts w:ascii="Candara" w:hAnsi="Candara"/>
              </w:rPr>
              <w:t>ilities had all m</w:t>
            </w:r>
            <w:r w:rsidR="00C14D24" w:rsidRPr="0016235B">
              <w:rPr>
                <w:rFonts w:ascii="Candara" w:hAnsi="Candara"/>
              </w:rPr>
              <w:t>edical equipment inquired about</w:t>
            </w:r>
          </w:p>
          <w:p w14:paraId="49871886" w14:textId="0974AC86" w:rsidR="00CC1C61" w:rsidRPr="0016235B" w:rsidRDefault="00CC1C61" w:rsidP="008A3E84">
            <w:pPr>
              <w:pStyle w:val="ListParagraph"/>
              <w:numPr>
                <w:ilvl w:val="0"/>
                <w:numId w:val="1"/>
              </w:numPr>
              <w:jc w:val="both"/>
              <w:rPr>
                <w:rFonts w:ascii="Candara" w:hAnsi="Candara"/>
              </w:rPr>
            </w:pPr>
            <w:r w:rsidRPr="0016235B">
              <w:rPr>
                <w:rFonts w:ascii="Candara" w:hAnsi="Candara"/>
              </w:rPr>
              <w:t xml:space="preserve">Stethoscope was the most available equipment (83%) and Central Oxygen Supply was the least available equipment </w:t>
            </w:r>
            <w:r w:rsidR="00E922B7" w:rsidRPr="0016235B">
              <w:rPr>
                <w:rFonts w:ascii="Candara" w:hAnsi="Candara"/>
              </w:rPr>
              <w:t>with</w:t>
            </w:r>
            <w:r w:rsidRPr="0016235B">
              <w:rPr>
                <w:rFonts w:ascii="Candara" w:hAnsi="Candara"/>
              </w:rPr>
              <w:t xml:space="preserve"> 6% of the facili</w:t>
            </w:r>
            <w:r w:rsidR="00FC192E" w:rsidRPr="0016235B">
              <w:rPr>
                <w:rFonts w:ascii="Candara" w:hAnsi="Candara"/>
              </w:rPr>
              <w:t>ties hav</w:t>
            </w:r>
            <w:r w:rsidR="00E922B7" w:rsidRPr="0016235B">
              <w:rPr>
                <w:rFonts w:ascii="Candara" w:hAnsi="Candara"/>
              </w:rPr>
              <w:t>ing it</w:t>
            </w:r>
          </w:p>
          <w:p w14:paraId="00CF1AA1" w14:textId="77777777" w:rsidR="00FC192E" w:rsidRPr="0016235B" w:rsidRDefault="00FC192E" w:rsidP="008A3E84">
            <w:pPr>
              <w:pStyle w:val="ListParagraph"/>
              <w:numPr>
                <w:ilvl w:val="0"/>
                <w:numId w:val="1"/>
              </w:numPr>
              <w:jc w:val="both"/>
              <w:rPr>
                <w:rFonts w:ascii="Candara" w:hAnsi="Candara"/>
              </w:rPr>
            </w:pPr>
            <w:r w:rsidRPr="0016235B">
              <w:rPr>
                <w:rFonts w:ascii="Candara" w:hAnsi="Candara"/>
              </w:rPr>
              <w:t>Availability by level of care was highest in General hospitals (70%) and lowest in HC IIs (31%)</w:t>
            </w:r>
          </w:p>
          <w:p w14:paraId="4E5876C3" w14:textId="437A660B" w:rsidR="0081394E" w:rsidRPr="0016235B" w:rsidRDefault="00FC192E" w:rsidP="008A3E84">
            <w:pPr>
              <w:pStyle w:val="ListParagraph"/>
              <w:numPr>
                <w:ilvl w:val="0"/>
                <w:numId w:val="1"/>
              </w:numPr>
              <w:jc w:val="both"/>
              <w:rPr>
                <w:rFonts w:ascii="Candara" w:hAnsi="Candara"/>
              </w:rPr>
            </w:pPr>
            <w:r w:rsidRPr="0016235B">
              <w:rPr>
                <w:rFonts w:ascii="Candara" w:hAnsi="Candara"/>
              </w:rPr>
              <w:t xml:space="preserve">No significant </w:t>
            </w:r>
            <w:r w:rsidR="0081394E" w:rsidRPr="0016235B">
              <w:rPr>
                <w:rFonts w:ascii="Candara" w:hAnsi="Candara"/>
              </w:rPr>
              <w:t>difference in availability of equipment regarding location (urban vs rural) an</w:t>
            </w:r>
            <w:r w:rsidR="00E922B7" w:rsidRPr="0016235B">
              <w:rPr>
                <w:rFonts w:ascii="Candara" w:hAnsi="Candara"/>
              </w:rPr>
              <w:t>d ownership (public vs private)</w:t>
            </w:r>
          </w:p>
          <w:p w14:paraId="7A70FABE" w14:textId="086705CB" w:rsidR="00FC192E" w:rsidRPr="0016235B" w:rsidRDefault="0081394E" w:rsidP="008A3E84">
            <w:pPr>
              <w:pStyle w:val="ListParagraph"/>
              <w:numPr>
                <w:ilvl w:val="0"/>
                <w:numId w:val="1"/>
              </w:numPr>
              <w:jc w:val="both"/>
              <w:rPr>
                <w:rFonts w:ascii="Candara" w:hAnsi="Candara"/>
              </w:rPr>
            </w:pPr>
            <w:r w:rsidRPr="0016235B">
              <w:rPr>
                <w:rFonts w:ascii="Candara" w:hAnsi="Candara"/>
              </w:rPr>
              <w:t>Only one region had over 50% availability (</w:t>
            </w:r>
            <w:r w:rsidR="007838E1" w:rsidRPr="0016235B">
              <w:rPr>
                <w:rFonts w:ascii="Candara" w:hAnsi="Candara"/>
              </w:rPr>
              <w:t>Mid-West</w:t>
            </w:r>
            <w:r w:rsidRPr="0016235B">
              <w:rPr>
                <w:rFonts w:ascii="Candara" w:hAnsi="Candara"/>
              </w:rPr>
              <w:t xml:space="preserve"> at 58%) with Wes</w:t>
            </w:r>
            <w:r w:rsidR="00E922B7" w:rsidRPr="0016235B">
              <w:rPr>
                <w:rFonts w:ascii="Candara" w:hAnsi="Candara"/>
              </w:rPr>
              <w:t>t Nile having the lowest at 23%</w:t>
            </w:r>
          </w:p>
          <w:p w14:paraId="11F9DE61" w14:textId="5B504861" w:rsidR="00FC192E" w:rsidRPr="0016235B" w:rsidRDefault="00FC192E" w:rsidP="008A3E84">
            <w:pPr>
              <w:pStyle w:val="ListParagraph"/>
              <w:jc w:val="both"/>
              <w:rPr>
                <w:rFonts w:ascii="Candara" w:hAnsi="Candara"/>
              </w:rPr>
            </w:pPr>
          </w:p>
        </w:tc>
      </w:tr>
    </w:tbl>
    <w:p w14:paraId="3F090249" w14:textId="75FB5D54" w:rsidR="00C7109E" w:rsidRPr="0016235B" w:rsidRDefault="00C7109E" w:rsidP="00196288">
      <w:pPr>
        <w:rPr>
          <w:rFonts w:ascii="Candara" w:hAnsi="Candara"/>
        </w:rPr>
      </w:pPr>
    </w:p>
    <w:p w14:paraId="0F20C2F1" w14:textId="77777777" w:rsidR="008238BB" w:rsidRPr="0016235B" w:rsidRDefault="008238BB" w:rsidP="00196288">
      <w:pPr>
        <w:rPr>
          <w:rFonts w:ascii="Candara" w:hAnsi="Candara"/>
        </w:rPr>
      </w:pPr>
    </w:p>
    <w:p w14:paraId="738A6BA2" w14:textId="44440B56" w:rsidR="007B3D4C" w:rsidRPr="0016235B" w:rsidRDefault="007B3D4C" w:rsidP="005722F2">
      <w:pPr>
        <w:pStyle w:val="Heading2"/>
        <w:numPr>
          <w:ilvl w:val="1"/>
          <w:numId w:val="25"/>
        </w:numPr>
        <w:rPr>
          <w:rFonts w:ascii="Candara" w:hAnsi="Candara"/>
          <w:b/>
          <w:sz w:val="28"/>
          <w:szCs w:val="28"/>
        </w:rPr>
      </w:pPr>
      <w:bookmarkStart w:id="23" w:name="_Toc11494036"/>
      <w:r w:rsidRPr="0016235B">
        <w:rPr>
          <w:rFonts w:ascii="Candara" w:hAnsi="Candara"/>
          <w:b/>
          <w:sz w:val="28"/>
          <w:szCs w:val="28"/>
        </w:rPr>
        <w:t>Standard Precautions</w:t>
      </w:r>
      <w:bookmarkEnd w:id="23"/>
    </w:p>
    <w:p w14:paraId="0173AE99" w14:textId="77777777" w:rsidR="007B3D4C" w:rsidRPr="0016235B" w:rsidRDefault="007B3D4C" w:rsidP="007B3D4C">
      <w:pPr>
        <w:jc w:val="both"/>
        <w:rPr>
          <w:rFonts w:ascii="Candara" w:eastAsia="MS Mincho" w:hAnsi="Candara"/>
          <w:sz w:val="24"/>
          <w:szCs w:val="24"/>
        </w:rPr>
      </w:pPr>
    </w:p>
    <w:p w14:paraId="2050144C" w14:textId="77777777" w:rsidR="007B3D4C" w:rsidRPr="0016235B" w:rsidRDefault="007B3D4C" w:rsidP="007B3D4C">
      <w:pPr>
        <w:jc w:val="both"/>
        <w:rPr>
          <w:rFonts w:ascii="Candara" w:eastAsia="MS Mincho" w:hAnsi="Candara"/>
          <w:sz w:val="24"/>
          <w:szCs w:val="24"/>
        </w:rPr>
      </w:pPr>
      <w:r w:rsidRPr="0016235B">
        <w:rPr>
          <w:rFonts w:ascii="Candara" w:eastAsia="MS Mincho" w:hAnsi="Candara"/>
          <w:sz w:val="24"/>
          <w:szCs w:val="24"/>
        </w:rPr>
        <w:t>The presence of standard precautions indicates implementation of control practices. The following tracer items were included in the domain: Alcohol based hand rub, Pedal bin (With lid and plastic), Environmental Disinfectant, Sharp container and Disposal of Latex Gloves.</w:t>
      </w:r>
    </w:p>
    <w:p w14:paraId="3B27778F" w14:textId="77777777" w:rsidR="007B3D4C" w:rsidRPr="0016235B" w:rsidRDefault="007B3D4C" w:rsidP="007B3D4C">
      <w:pPr>
        <w:jc w:val="both"/>
        <w:rPr>
          <w:rFonts w:ascii="Candara" w:eastAsia="MS Mincho" w:hAnsi="Candara"/>
          <w:sz w:val="24"/>
          <w:szCs w:val="24"/>
        </w:rPr>
      </w:pPr>
      <w:r w:rsidRPr="0016235B">
        <w:rPr>
          <w:rFonts w:ascii="Candara" w:eastAsia="MS Mincho" w:hAnsi="Candara"/>
          <w:sz w:val="24"/>
          <w:szCs w:val="24"/>
        </w:rPr>
        <w:t xml:space="preserve">Facilities had an average of 8 in 10 (82%) items of standard precaution for infection prevention, no facility had all the items for standard precautions for infection prevention. The most frequent available items were Disposal latex gloves which is found in 9 of 10 facilities whereas the least were the infection prevention guidelines. </w:t>
      </w:r>
    </w:p>
    <w:p w14:paraId="64D9D5DA" w14:textId="77777777" w:rsidR="00FF2682" w:rsidRPr="0016235B" w:rsidRDefault="00FF2682" w:rsidP="007B3D4C">
      <w:pPr>
        <w:jc w:val="both"/>
        <w:rPr>
          <w:rFonts w:ascii="Candara" w:eastAsia="MS Mincho" w:hAnsi="Candara"/>
          <w:sz w:val="24"/>
          <w:szCs w:val="24"/>
        </w:rPr>
      </w:pPr>
    </w:p>
    <w:p w14:paraId="44C383EC" w14:textId="77777777" w:rsidR="00C94BC8" w:rsidRPr="0016235B" w:rsidRDefault="00C94BC8">
      <w:pPr>
        <w:rPr>
          <w:rFonts w:ascii="Candara" w:hAnsi="Candara" w:cs="Times New Roman"/>
          <w:b/>
          <w:sz w:val="24"/>
          <w:szCs w:val="24"/>
        </w:rPr>
      </w:pPr>
      <w:r w:rsidRPr="0016235B">
        <w:rPr>
          <w:rFonts w:ascii="Candara" w:hAnsi="Candara" w:cs="Times New Roman"/>
          <w:b/>
          <w:sz w:val="24"/>
          <w:szCs w:val="24"/>
        </w:rPr>
        <w:br w:type="page"/>
      </w:r>
    </w:p>
    <w:p w14:paraId="74227B84" w14:textId="310C6D22" w:rsidR="007B3D4C" w:rsidRPr="0016235B" w:rsidRDefault="007B3D4C" w:rsidP="007B3D4C">
      <w:pPr>
        <w:rPr>
          <w:rFonts w:ascii="Candara" w:hAnsi="Candara" w:cs="Times New Roman"/>
          <w:b/>
          <w:sz w:val="24"/>
          <w:szCs w:val="24"/>
        </w:rPr>
      </w:pPr>
      <w:r w:rsidRPr="0016235B">
        <w:rPr>
          <w:rFonts w:ascii="Candara" w:hAnsi="Candara" w:cs="Times New Roman"/>
          <w:b/>
          <w:sz w:val="24"/>
          <w:szCs w:val="24"/>
        </w:rPr>
        <w:lastRenderedPageBreak/>
        <w:t>Percent of facilities with items of infection prevention (N=166)</w:t>
      </w:r>
    </w:p>
    <w:p w14:paraId="69E97D99" w14:textId="77777777" w:rsidR="007B3D4C" w:rsidRPr="0016235B" w:rsidRDefault="007B3D4C" w:rsidP="007B3D4C">
      <w:pPr>
        <w:jc w:val="both"/>
        <w:rPr>
          <w:rFonts w:ascii="Candara" w:hAnsi="Candara"/>
        </w:rPr>
      </w:pPr>
      <w:r w:rsidRPr="0016235B">
        <w:rPr>
          <w:rFonts w:ascii="Candara" w:hAnsi="Candara"/>
          <w:noProof/>
        </w:rPr>
        <w:drawing>
          <wp:inline distT="0" distB="0" distL="0" distR="0" wp14:anchorId="20C4D6E2" wp14:editId="168CC7F3">
            <wp:extent cx="5915025" cy="2762250"/>
            <wp:effectExtent l="0" t="0" r="9525" b="0"/>
            <wp:docPr id="124" name="Chart 124">
              <a:extLst xmlns:a="http://schemas.openxmlformats.org/drawingml/2006/main">
                <a:ext uri="{FF2B5EF4-FFF2-40B4-BE49-F238E27FC236}">
                  <a16:creationId xmlns:a16="http://schemas.microsoft.com/office/drawing/2014/main" id="{9B0E7023-AB3E-4953-B00D-0A34A815D8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844028" w14:textId="77777777" w:rsidR="007B3D4C" w:rsidRPr="0016235B" w:rsidRDefault="007B3D4C" w:rsidP="007B3D4C">
      <w:pPr>
        <w:rPr>
          <w:rFonts w:ascii="Candara" w:hAnsi="Candara" w:cs="Times New Roman"/>
          <w:b/>
          <w:sz w:val="24"/>
          <w:szCs w:val="24"/>
        </w:rPr>
      </w:pPr>
    </w:p>
    <w:p w14:paraId="159E15C0" w14:textId="77777777" w:rsidR="007B3D4C" w:rsidRPr="0016235B" w:rsidRDefault="007B3D4C" w:rsidP="007B3D4C">
      <w:pPr>
        <w:rPr>
          <w:rFonts w:ascii="Candara" w:hAnsi="Candara" w:cs="Times New Roman"/>
          <w:b/>
          <w:sz w:val="24"/>
          <w:szCs w:val="24"/>
        </w:rPr>
      </w:pPr>
      <w:r w:rsidRPr="0016235B">
        <w:rPr>
          <w:rFonts w:ascii="Candara" w:hAnsi="Candara" w:cs="Times New Roman"/>
          <w:b/>
          <w:sz w:val="24"/>
          <w:szCs w:val="24"/>
        </w:rPr>
        <w:t xml:space="preserve">Mean availability of items of infection prevention, by key equity </w:t>
      </w:r>
      <w:proofErr w:type="spellStart"/>
      <w:r w:rsidRPr="0016235B">
        <w:rPr>
          <w:rFonts w:ascii="Candara" w:hAnsi="Candara" w:cs="Times New Roman"/>
          <w:b/>
          <w:sz w:val="24"/>
          <w:szCs w:val="24"/>
        </w:rPr>
        <w:t>stratifiers</w:t>
      </w:r>
      <w:proofErr w:type="spellEnd"/>
      <w:r w:rsidRPr="0016235B">
        <w:rPr>
          <w:rFonts w:ascii="Candara" w:hAnsi="Candara" w:cs="Times New Roman"/>
          <w:b/>
          <w:sz w:val="24"/>
          <w:szCs w:val="24"/>
        </w:rPr>
        <w:t xml:space="preserve"> (N=166)</w:t>
      </w:r>
    </w:p>
    <w:p w14:paraId="6CB52AB5" w14:textId="77777777" w:rsidR="007B3D4C" w:rsidRPr="0016235B" w:rsidRDefault="007B3D4C" w:rsidP="007B3D4C">
      <w:pPr>
        <w:jc w:val="both"/>
        <w:rPr>
          <w:rFonts w:ascii="Candara" w:hAnsi="Candara"/>
        </w:rPr>
      </w:pPr>
      <w:r w:rsidRPr="0016235B">
        <w:rPr>
          <w:rFonts w:ascii="Candara" w:hAnsi="Candara"/>
          <w:noProof/>
        </w:rPr>
        <w:drawing>
          <wp:inline distT="0" distB="0" distL="0" distR="0" wp14:anchorId="1D56D8D5" wp14:editId="0F3DEDF4">
            <wp:extent cx="5731510" cy="2788285"/>
            <wp:effectExtent l="0" t="0" r="2540" b="12065"/>
            <wp:docPr id="126" name="Chart 126">
              <a:extLst xmlns:a="http://schemas.openxmlformats.org/drawingml/2006/main">
                <a:ext uri="{FF2B5EF4-FFF2-40B4-BE49-F238E27FC236}">
                  <a16:creationId xmlns:a16="http://schemas.microsoft.com/office/drawing/2014/main" id="{84C365B2-8C71-4E21-8A7F-B60F9CC38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FEF8206" w14:textId="77777777" w:rsidR="00ED2E24" w:rsidRPr="0016235B" w:rsidRDefault="00ED2E24" w:rsidP="007B3D4C">
      <w:pPr>
        <w:jc w:val="both"/>
        <w:rPr>
          <w:rFonts w:ascii="Candara" w:hAnsi="Candara"/>
        </w:rPr>
      </w:pPr>
    </w:p>
    <w:tbl>
      <w:tblPr>
        <w:tblStyle w:val="TableGrid"/>
        <w:tblW w:w="9409" w:type="dxa"/>
        <w:tblLook w:val="04A0" w:firstRow="1" w:lastRow="0" w:firstColumn="1" w:lastColumn="0" w:noHBand="0" w:noVBand="1"/>
      </w:tblPr>
      <w:tblGrid>
        <w:gridCol w:w="9409"/>
      </w:tblGrid>
      <w:tr w:rsidR="00ED2E24" w:rsidRPr="0016235B" w14:paraId="042CA453" w14:textId="77777777" w:rsidTr="00244BC6">
        <w:trPr>
          <w:trHeight w:val="262"/>
        </w:trPr>
        <w:tc>
          <w:tcPr>
            <w:tcW w:w="9409" w:type="dxa"/>
          </w:tcPr>
          <w:p w14:paraId="54C77DA9" w14:textId="77777777" w:rsidR="00ED2E24" w:rsidRPr="0016235B" w:rsidRDefault="00ED2E24" w:rsidP="00244BC6">
            <w:pPr>
              <w:rPr>
                <w:rFonts w:ascii="Candara" w:hAnsi="Candara"/>
                <w:b/>
              </w:rPr>
            </w:pPr>
            <w:r w:rsidRPr="0016235B">
              <w:rPr>
                <w:rFonts w:ascii="Candara" w:hAnsi="Candara"/>
                <w:b/>
              </w:rPr>
              <w:t>Key findings</w:t>
            </w:r>
          </w:p>
        </w:tc>
      </w:tr>
      <w:tr w:rsidR="00ED2E24" w:rsidRPr="0016235B" w14:paraId="4D7801F2" w14:textId="77777777" w:rsidTr="00244BC6">
        <w:trPr>
          <w:trHeight w:val="2663"/>
        </w:trPr>
        <w:tc>
          <w:tcPr>
            <w:tcW w:w="9409" w:type="dxa"/>
          </w:tcPr>
          <w:p w14:paraId="3FA8B528" w14:textId="77777777" w:rsidR="00ED2E24" w:rsidRPr="0016235B" w:rsidRDefault="00ED2E24" w:rsidP="005722F2">
            <w:pPr>
              <w:pStyle w:val="ListParagraph"/>
              <w:numPr>
                <w:ilvl w:val="0"/>
                <w:numId w:val="14"/>
              </w:numPr>
              <w:spacing w:after="120" w:line="264" w:lineRule="auto"/>
              <w:jc w:val="both"/>
              <w:rPr>
                <w:rFonts w:ascii="Candara" w:hAnsi="Candara" w:cs="Times New Roman"/>
              </w:rPr>
            </w:pPr>
            <w:r w:rsidRPr="0016235B">
              <w:rPr>
                <w:rFonts w:ascii="Candara" w:hAnsi="Candara" w:cs="Times New Roman"/>
              </w:rPr>
              <w:t xml:space="preserve">On average, facilities had 82% of the 10 items of infection prevention </w:t>
            </w:r>
          </w:p>
          <w:p w14:paraId="463A916E" w14:textId="77777777" w:rsidR="00ED2E24" w:rsidRPr="0016235B" w:rsidRDefault="00ED2E24" w:rsidP="005722F2">
            <w:pPr>
              <w:pStyle w:val="ListParagraph"/>
              <w:numPr>
                <w:ilvl w:val="0"/>
                <w:numId w:val="14"/>
              </w:numPr>
              <w:spacing w:after="120" w:line="264" w:lineRule="auto"/>
              <w:jc w:val="both"/>
              <w:rPr>
                <w:rFonts w:ascii="Candara" w:hAnsi="Candara" w:cs="Times New Roman"/>
              </w:rPr>
            </w:pPr>
            <w:r w:rsidRPr="0016235B">
              <w:rPr>
                <w:rFonts w:ascii="Candara" w:hAnsi="Candara" w:cs="Times New Roman"/>
              </w:rPr>
              <w:t>There was no major difference in availability of infection prevention items between public and private facilities</w:t>
            </w:r>
          </w:p>
          <w:p w14:paraId="4FE9F0E4" w14:textId="77777777" w:rsidR="00ED2E24" w:rsidRPr="0016235B" w:rsidRDefault="00ED2E24" w:rsidP="005722F2">
            <w:pPr>
              <w:pStyle w:val="ListParagraph"/>
              <w:numPr>
                <w:ilvl w:val="0"/>
                <w:numId w:val="14"/>
              </w:numPr>
              <w:spacing w:after="120" w:line="264" w:lineRule="auto"/>
              <w:jc w:val="both"/>
              <w:rPr>
                <w:rFonts w:ascii="Candara" w:hAnsi="Candara" w:cs="Times New Roman"/>
              </w:rPr>
            </w:pPr>
            <w:r w:rsidRPr="0016235B">
              <w:rPr>
                <w:rFonts w:ascii="Candara" w:hAnsi="Candara" w:cs="Times New Roman"/>
              </w:rPr>
              <w:t xml:space="preserve">Urban facilities had slightly more items (85%) than rural based facilities (79%) </w:t>
            </w:r>
          </w:p>
          <w:p w14:paraId="5CCB430D" w14:textId="77777777" w:rsidR="00ED2E24" w:rsidRPr="0016235B" w:rsidRDefault="00ED2E24" w:rsidP="005722F2">
            <w:pPr>
              <w:pStyle w:val="ListParagraph"/>
              <w:numPr>
                <w:ilvl w:val="0"/>
                <w:numId w:val="14"/>
              </w:numPr>
              <w:spacing w:after="120" w:line="264" w:lineRule="auto"/>
              <w:jc w:val="both"/>
              <w:rPr>
                <w:rFonts w:ascii="Candara" w:hAnsi="Candara" w:cs="Times New Roman"/>
              </w:rPr>
            </w:pPr>
            <w:r w:rsidRPr="0016235B">
              <w:rPr>
                <w:rFonts w:ascii="Candara" w:hAnsi="Candara" w:cs="Times New Roman"/>
              </w:rPr>
              <w:t>Generally, there are more infection prevention items in higher level facilities; except HC IV which had less infection prevention items than HCIIs and HCIIIs</w:t>
            </w:r>
          </w:p>
          <w:p w14:paraId="7CD83CF5" w14:textId="77777777" w:rsidR="00ED2E24" w:rsidRPr="0016235B" w:rsidRDefault="00ED2E24" w:rsidP="005722F2">
            <w:pPr>
              <w:pStyle w:val="ListParagraph"/>
              <w:numPr>
                <w:ilvl w:val="0"/>
                <w:numId w:val="14"/>
              </w:numPr>
              <w:spacing w:after="120" w:line="264" w:lineRule="auto"/>
              <w:jc w:val="both"/>
              <w:rPr>
                <w:rFonts w:ascii="Candara" w:hAnsi="Candara" w:cs="Times New Roman"/>
              </w:rPr>
            </w:pPr>
            <w:r w:rsidRPr="0016235B">
              <w:rPr>
                <w:rFonts w:ascii="Candara" w:hAnsi="Candara" w:cs="Times New Roman"/>
              </w:rPr>
              <w:t>All the regions items above the national average (82%), except West-Nile region, North-East, Mid- North and Central 1</w:t>
            </w:r>
          </w:p>
          <w:p w14:paraId="0EA79125" w14:textId="77777777" w:rsidR="00ED2E24" w:rsidRPr="0016235B" w:rsidRDefault="00ED2E24" w:rsidP="00244BC6">
            <w:pPr>
              <w:pStyle w:val="ListParagraph"/>
              <w:jc w:val="both"/>
              <w:rPr>
                <w:rFonts w:ascii="Candara" w:hAnsi="Candara"/>
              </w:rPr>
            </w:pPr>
          </w:p>
        </w:tc>
      </w:tr>
    </w:tbl>
    <w:p w14:paraId="7D345849" w14:textId="085A208C" w:rsidR="007B3D4C" w:rsidRPr="0016235B" w:rsidRDefault="007B3D4C" w:rsidP="007B3D4C">
      <w:pPr>
        <w:jc w:val="both"/>
        <w:rPr>
          <w:rFonts w:ascii="Candara" w:hAnsi="Candara"/>
        </w:rPr>
      </w:pPr>
    </w:p>
    <w:p w14:paraId="7B2AE905" w14:textId="77777777" w:rsidR="009C5BF8" w:rsidRPr="0016235B" w:rsidRDefault="009C5BF8" w:rsidP="009C5BF8">
      <w:pPr>
        <w:pStyle w:val="Heading2"/>
        <w:numPr>
          <w:ilvl w:val="1"/>
          <w:numId w:val="25"/>
        </w:numPr>
        <w:rPr>
          <w:rFonts w:ascii="Candara" w:hAnsi="Candara"/>
          <w:b/>
          <w:sz w:val="28"/>
          <w:szCs w:val="28"/>
        </w:rPr>
      </w:pPr>
      <w:bookmarkStart w:id="24" w:name="_Toc11494037"/>
      <w:r w:rsidRPr="0016235B">
        <w:rPr>
          <w:rFonts w:ascii="Candara" w:hAnsi="Candara"/>
          <w:b/>
          <w:sz w:val="28"/>
          <w:szCs w:val="28"/>
        </w:rPr>
        <w:lastRenderedPageBreak/>
        <w:t>Diagnostics Capacity</w:t>
      </w:r>
      <w:bookmarkEnd w:id="24"/>
    </w:p>
    <w:p w14:paraId="383A4E77" w14:textId="77777777" w:rsidR="009C5BF8" w:rsidRPr="0016235B" w:rsidRDefault="009C5BF8" w:rsidP="009C5BF8">
      <w:pPr>
        <w:ind w:left="142"/>
        <w:jc w:val="both"/>
        <w:rPr>
          <w:rFonts w:ascii="Candara" w:hAnsi="Candara" w:cs="Times New Roman"/>
        </w:rPr>
      </w:pPr>
    </w:p>
    <w:p w14:paraId="2FE10991" w14:textId="77777777" w:rsidR="009C5BF8" w:rsidRPr="0016235B" w:rsidRDefault="009C5BF8" w:rsidP="009C5BF8">
      <w:pPr>
        <w:jc w:val="both"/>
        <w:rPr>
          <w:rFonts w:ascii="Candara" w:hAnsi="Candara"/>
        </w:rPr>
      </w:pPr>
      <w:r w:rsidRPr="0016235B">
        <w:rPr>
          <w:rFonts w:ascii="Candara" w:eastAsia="MS Mincho" w:hAnsi="Candara"/>
          <w:sz w:val="24"/>
          <w:szCs w:val="24"/>
        </w:rPr>
        <w:t xml:space="preserve">Service delivery would not be complete without diagnostic capacity in health facilities. </w:t>
      </w:r>
    </w:p>
    <w:p w14:paraId="1FB23F8F" w14:textId="77777777" w:rsidR="00BA1CFC" w:rsidRPr="0016235B" w:rsidRDefault="009C5BF8" w:rsidP="009C5BF8">
      <w:pPr>
        <w:jc w:val="both"/>
        <w:rPr>
          <w:rFonts w:ascii="Candara" w:eastAsia="MS Mincho" w:hAnsi="Candara"/>
          <w:sz w:val="24"/>
          <w:szCs w:val="24"/>
        </w:rPr>
      </w:pPr>
      <w:r w:rsidRPr="0016235B">
        <w:rPr>
          <w:rFonts w:ascii="Candara" w:eastAsia="MS Mincho" w:hAnsi="Candara"/>
          <w:sz w:val="24"/>
          <w:szCs w:val="24"/>
        </w:rPr>
        <w:t xml:space="preserve">Assessment of diagnostic capacity was based on the presence of the following basic diagnostic services: tests for malaria, HIV, syphilis, pregnancy, diabetes (urine test for glucose and ketone bodies), and dry blood spot collection.  </w:t>
      </w:r>
    </w:p>
    <w:p w14:paraId="5D41311E" w14:textId="77777777" w:rsidR="009C5BF8" w:rsidRPr="0016235B" w:rsidRDefault="009C5BF8" w:rsidP="009C5BF8">
      <w:pPr>
        <w:spacing w:after="0" w:line="240" w:lineRule="auto"/>
        <w:jc w:val="both"/>
        <w:rPr>
          <w:rFonts w:ascii="Candara" w:eastAsia="Times New Roman" w:hAnsi="Candara" w:cs="Times New Roman"/>
          <w:b/>
          <w:bCs/>
          <w:lang w:eastAsia="en-GB"/>
        </w:rPr>
      </w:pPr>
    </w:p>
    <w:p w14:paraId="29062A89" w14:textId="77777777" w:rsidR="009C5BF8" w:rsidRPr="0016235B" w:rsidRDefault="009C5BF8" w:rsidP="009C5BF8">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Percentage of facilities with diagnostic capacity items available (N=166)</w:t>
      </w:r>
    </w:p>
    <w:p w14:paraId="6C9A8D0E" w14:textId="77777777" w:rsidR="009C5BF8" w:rsidRPr="0016235B" w:rsidRDefault="009C5BF8" w:rsidP="009C5BF8">
      <w:pPr>
        <w:rPr>
          <w:rFonts w:ascii="Candara" w:hAnsi="Candara"/>
        </w:rPr>
      </w:pPr>
      <w:r w:rsidRPr="0016235B">
        <w:rPr>
          <w:rFonts w:ascii="Candara" w:hAnsi="Candara"/>
          <w:noProof/>
        </w:rPr>
        <w:drawing>
          <wp:inline distT="0" distB="0" distL="0" distR="0" wp14:anchorId="0891E1DE" wp14:editId="5F92C921">
            <wp:extent cx="5705475" cy="3000375"/>
            <wp:effectExtent l="0" t="0" r="9525" b="9525"/>
            <wp:docPr id="128" name="Chart 128">
              <a:extLst xmlns:a="http://schemas.openxmlformats.org/drawingml/2006/main">
                <a:ext uri="{FF2B5EF4-FFF2-40B4-BE49-F238E27FC236}">
                  <a16:creationId xmlns:a16="http://schemas.microsoft.com/office/drawing/2014/main" id="{79C31203-6C4D-4E68-BD0D-FF5F2A1F1F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0223046" w14:textId="77777777" w:rsidR="009C5BF8" w:rsidRPr="0016235B" w:rsidRDefault="009C5BF8" w:rsidP="009C5BF8">
      <w:pPr>
        <w:spacing w:after="0" w:line="240" w:lineRule="auto"/>
        <w:jc w:val="both"/>
        <w:rPr>
          <w:rFonts w:ascii="Candara" w:eastAsia="Times New Roman" w:hAnsi="Candara" w:cs="Times New Roman"/>
          <w:b/>
          <w:bCs/>
          <w:lang w:eastAsia="en-GB"/>
        </w:rPr>
      </w:pPr>
    </w:p>
    <w:p w14:paraId="4550D530" w14:textId="77777777" w:rsidR="009C5BF8" w:rsidRPr="0016235B" w:rsidRDefault="009C5BF8" w:rsidP="009C5BF8">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Mean availability of diagnostic capacity tracer items, by region (N=166)</w:t>
      </w:r>
    </w:p>
    <w:p w14:paraId="490F5F63" w14:textId="77777777" w:rsidR="009C5BF8" w:rsidRPr="0016235B" w:rsidRDefault="009C5BF8" w:rsidP="009C5BF8">
      <w:pPr>
        <w:ind w:left="720" w:hanging="720"/>
        <w:jc w:val="both"/>
        <w:rPr>
          <w:rFonts w:ascii="Candara" w:hAnsi="Candara"/>
          <w:b/>
        </w:rPr>
      </w:pPr>
      <w:r w:rsidRPr="0016235B">
        <w:rPr>
          <w:rFonts w:ascii="Candara" w:hAnsi="Candara"/>
          <w:noProof/>
        </w:rPr>
        <w:drawing>
          <wp:inline distT="0" distB="0" distL="0" distR="0" wp14:anchorId="1D3ADBC5" wp14:editId="760DD3CE">
            <wp:extent cx="5731510" cy="2775585"/>
            <wp:effectExtent l="0" t="0" r="2540" b="5715"/>
            <wp:docPr id="127" name="Chart 127">
              <a:extLst xmlns:a="http://schemas.openxmlformats.org/drawingml/2006/main">
                <a:ext uri="{FF2B5EF4-FFF2-40B4-BE49-F238E27FC236}">
                  <a16:creationId xmlns:a16="http://schemas.microsoft.com/office/drawing/2014/main" id="{9974FF91-07D2-4532-99D2-969B1826E5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DCB47B5" w14:textId="4ADF4D8C" w:rsidR="00BA1CFC" w:rsidRPr="0016235B" w:rsidRDefault="00BA1CFC">
      <w:pPr>
        <w:rPr>
          <w:rFonts w:ascii="Candara" w:hAnsi="Candara"/>
          <w:b/>
        </w:rPr>
      </w:pPr>
      <w:r w:rsidRPr="0016235B">
        <w:rPr>
          <w:rFonts w:ascii="Candara" w:hAnsi="Candara"/>
          <w:b/>
        </w:rPr>
        <w:br w:type="page"/>
      </w:r>
    </w:p>
    <w:tbl>
      <w:tblPr>
        <w:tblStyle w:val="TableGrid"/>
        <w:tblW w:w="9535" w:type="dxa"/>
        <w:tblLook w:val="04A0" w:firstRow="1" w:lastRow="0" w:firstColumn="1" w:lastColumn="0" w:noHBand="0" w:noVBand="1"/>
      </w:tblPr>
      <w:tblGrid>
        <w:gridCol w:w="9535"/>
      </w:tblGrid>
      <w:tr w:rsidR="009C5BF8" w:rsidRPr="0016235B" w14:paraId="2B50EE30" w14:textId="77777777" w:rsidTr="009C5BF8">
        <w:trPr>
          <w:trHeight w:val="262"/>
        </w:trPr>
        <w:tc>
          <w:tcPr>
            <w:tcW w:w="9535" w:type="dxa"/>
          </w:tcPr>
          <w:p w14:paraId="2A8AD66D" w14:textId="77777777" w:rsidR="009C5BF8" w:rsidRPr="0016235B" w:rsidRDefault="009C5BF8" w:rsidP="009C5BF8">
            <w:pPr>
              <w:rPr>
                <w:rFonts w:ascii="Candara" w:hAnsi="Candara"/>
                <w:b/>
              </w:rPr>
            </w:pPr>
            <w:r w:rsidRPr="0016235B">
              <w:rPr>
                <w:rFonts w:ascii="Candara" w:hAnsi="Candara"/>
                <w:b/>
              </w:rPr>
              <w:lastRenderedPageBreak/>
              <w:t>Key findings</w:t>
            </w:r>
          </w:p>
        </w:tc>
      </w:tr>
      <w:tr w:rsidR="009C5BF8" w:rsidRPr="0016235B" w14:paraId="0723E20C" w14:textId="77777777" w:rsidTr="009C5BF8">
        <w:trPr>
          <w:trHeight w:val="2402"/>
        </w:trPr>
        <w:tc>
          <w:tcPr>
            <w:tcW w:w="9535" w:type="dxa"/>
          </w:tcPr>
          <w:p w14:paraId="5ACE7211" w14:textId="77777777" w:rsidR="009C5BF8" w:rsidRPr="0016235B" w:rsidRDefault="009C5BF8" w:rsidP="009C5BF8">
            <w:pPr>
              <w:pStyle w:val="ListParagraph"/>
              <w:numPr>
                <w:ilvl w:val="0"/>
                <w:numId w:val="15"/>
              </w:numPr>
              <w:spacing w:after="120" w:line="264" w:lineRule="auto"/>
              <w:jc w:val="both"/>
              <w:rPr>
                <w:rFonts w:ascii="Candara" w:hAnsi="Candara" w:cs="Times New Roman"/>
              </w:rPr>
            </w:pPr>
            <w:r w:rsidRPr="0016235B">
              <w:rPr>
                <w:rFonts w:ascii="Candara" w:hAnsi="Candara" w:cs="Times New Roman"/>
              </w:rPr>
              <w:t xml:space="preserve">Of the 8 test that were asked about, 55% were reported available  </w:t>
            </w:r>
          </w:p>
          <w:p w14:paraId="3CFACCB8" w14:textId="77777777" w:rsidR="009C5BF8" w:rsidRPr="0016235B" w:rsidRDefault="009C5BF8" w:rsidP="009C5BF8">
            <w:pPr>
              <w:pStyle w:val="ListParagraph"/>
              <w:numPr>
                <w:ilvl w:val="0"/>
                <w:numId w:val="15"/>
              </w:numPr>
              <w:spacing w:after="120" w:line="264" w:lineRule="auto"/>
              <w:jc w:val="both"/>
              <w:rPr>
                <w:rFonts w:ascii="Candara" w:hAnsi="Candara" w:cs="Times New Roman"/>
              </w:rPr>
            </w:pPr>
            <w:r w:rsidRPr="0016235B">
              <w:rPr>
                <w:rFonts w:ascii="Candara" w:hAnsi="Candara" w:cs="Times New Roman"/>
              </w:rPr>
              <w:t>None of the facilities reported availability of all the diagnostics tests</w:t>
            </w:r>
          </w:p>
          <w:p w14:paraId="7C8C80D0" w14:textId="77777777" w:rsidR="009C5BF8" w:rsidRPr="0016235B" w:rsidRDefault="009C5BF8" w:rsidP="009C5BF8">
            <w:pPr>
              <w:pStyle w:val="ListParagraph"/>
              <w:numPr>
                <w:ilvl w:val="0"/>
                <w:numId w:val="15"/>
              </w:numPr>
              <w:spacing w:after="120" w:line="264" w:lineRule="auto"/>
              <w:jc w:val="both"/>
              <w:rPr>
                <w:rFonts w:ascii="Candara" w:hAnsi="Candara" w:cs="Times New Roman"/>
              </w:rPr>
            </w:pPr>
            <w:r w:rsidRPr="0016235B">
              <w:rPr>
                <w:rFonts w:ascii="Candara" w:hAnsi="Candara" w:cs="Times New Roman"/>
              </w:rPr>
              <w:t xml:space="preserve">The most commonly available test was malaria test, with 80% of the facilities reporting that they offered tests for malaria. Collection of dry blood spot for HIV test in children was the least reported with 37% of the facilities reporting that they did dry blood spot collection </w:t>
            </w:r>
          </w:p>
          <w:p w14:paraId="3536A0D4" w14:textId="77777777" w:rsidR="009C5BF8" w:rsidRPr="0016235B" w:rsidRDefault="009C5BF8" w:rsidP="009C5BF8">
            <w:pPr>
              <w:pStyle w:val="ListParagraph"/>
              <w:numPr>
                <w:ilvl w:val="0"/>
                <w:numId w:val="15"/>
              </w:numPr>
              <w:spacing w:after="120" w:line="264" w:lineRule="auto"/>
              <w:jc w:val="both"/>
              <w:rPr>
                <w:rFonts w:ascii="Candara" w:hAnsi="Candara" w:cs="Times New Roman"/>
              </w:rPr>
            </w:pPr>
            <w:r w:rsidRPr="0016235B">
              <w:rPr>
                <w:rFonts w:ascii="Candara" w:hAnsi="Candara" w:cs="Times New Roman"/>
              </w:rPr>
              <w:t>Availability of diagnostics tests increased with increase in level of facility, with availability highest in regional hospital (93%) and lowest in HC IIs (37%)</w:t>
            </w:r>
          </w:p>
          <w:p w14:paraId="0BC4A2D6" w14:textId="77777777" w:rsidR="009C5BF8" w:rsidRPr="0016235B" w:rsidRDefault="009C5BF8" w:rsidP="009C5BF8">
            <w:pPr>
              <w:pStyle w:val="ListParagraph"/>
              <w:numPr>
                <w:ilvl w:val="0"/>
                <w:numId w:val="15"/>
              </w:numPr>
              <w:spacing w:after="120" w:line="264" w:lineRule="auto"/>
              <w:jc w:val="both"/>
              <w:rPr>
                <w:rFonts w:ascii="Candara" w:hAnsi="Candara" w:cs="Times New Roman"/>
              </w:rPr>
            </w:pPr>
            <w:r w:rsidRPr="0016235B">
              <w:rPr>
                <w:rFonts w:ascii="Candara" w:hAnsi="Candara" w:cs="Times New Roman"/>
              </w:rPr>
              <w:t>There were big regional differences, with up to 27% absolute gap between the top and the bottom region</w:t>
            </w:r>
          </w:p>
          <w:p w14:paraId="11A7999A" w14:textId="77777777" w:rsidR="009C5BF8" w:rsidRPr="0016235B" w:rsidRDefault="009C5BF8" w:rsidP="009C5BF8">
            <w:pPr>
              <w:pStyle w:val="ListParagraph"/>
              <w:numPr>
                <w:ilvl w:val="0"/>
                <w:numId w:val="15"/>
              </w:numPr>
              <w:spacing w:after="120" w:line="264" w:lineRule="auto"/>
              <w:jc w:val="both"/>
              <w:rPr>
                <w:rFonts w:ascii="Candara" w:hAnsi="Candara" w:cs="Times New Roman"/>
              </w:rPr>
            </w:pPr>
            <w:r w:rsidRPr="0016235B">
              <w:rPr>
                <w:rFonts w:ascii="Candara" w:hAnsi="Candara" w:cs="Times New Roman"/>
              </w:rPr>
              <w:t>There is fairly big difference by facility location, with availability higher in urban than rural facilities</w:t>
            </w:r>
          </w:p>
          <w:p w14:paraId="65BC62B7" w14:textId="77777777" w:rsidR="009C5BF8" w:rsidRPr="0016235B" w:rsidRDefault="009C5BF8" w:rsidP="009C5BF8">
            <w:pPr>
              <w:pStyle w:val="ListParagraph"/>
              <w:numPr>
                <w:ilvl w:val="0"/>
                <w:numId w:val="15"/>
              </w:numPr>
              <w:spacing w:after="120" w:line="264" w:lineRule="auto"/>
              <w:jc w:val="both"/>
              <w:rPr>
                <w:rFonts w:ascii="Candara" w:hAnsi="Candara" w:cs="Times New Roman"/>
              </w:rPr>
            </w:pPr>
            <w:r w:rsidRPr="0016235B">
              <w:rPr>
                <w:rFonts w:ascii="Candara" w:hAnsi="Candara" w:cs="Times New Roman"/>
              </w:rPr>
              <w:t>Private facilities had better diagnostic capacity than public health facilities</w:t>
            </w:r>
          </w:p>
        </w:tc>
      </w:tr>
    </w:tbl>
    <w:p w14:paraId="06A3987D" w14:textId="77777777" w:rsidR="009C5BF8" w:rsidRPr="0016235B" w:rsidRDefault="009C5BF8" w:rsidP="009C5BF8">
      <w:pPr>
        <w:ind w:left="720" w:hanging="720"/>
        <w:jc w:val="both"/>
        <w:rPr>
          <w:rFonts w:ascii="Candara" w:hAnsi="Candara"/>
          <w:b/>
        </w:rPr>
      </w:pPr>
    </w:p>
    <w:p w14:paraId="4D1DBABE" w14:textId="77777777" w:rsidR="009C5BF8" w:rsidRPr="0016235B" w:rsidRDefault="009C5BF8" w:rsidP="009C5BF8">
      <w:pPr>
        <w:pStyle w:val="ListParagraph"/>
        <w:jc w:val="both"/>
        <w:rPr>
          <w:rFonts w:ascii="Candara" w:hAnsi="Candara"/>
        </w:rPr>
      </w:pPr>
    </w:p>
    <w:p w14:paraId="6972F0A0" w14:textId="77777777" w:rsidR="009C5BF8" w:rsidRPr="0016235B" w:rsidRDefault="009C5BF8" w:rsidP="007B3D4C">
      <w:pPr>
        <w:jc w:val="both"/>
        <w:rPr>
          <w:rFonts w:ascii="Candara" w:hAnsi="Candara"/>
        </w:rPr>
      </w:pPr>
    </w:p>
    <w:p w14:paraId="63504B37" w14:textId="77777777" w:rsidR="009C5BF8" w:rsidRPr="0016235B" w:rsidRDefault="009C5BF8" w:rsidP="007B3D4C">
      <w:pPr>
        <w:jc w:val="both"/>
        <w:rPr>
          <w:rFonts w:ascii="Candara" w:hAnsi="Candara"/>
        </w:rPr>
      </w:pPr>
    </w:p>
    <w:p w14:paraId="1A6269A1" w14:textId="77777777" w:rsidR="009C5BF8" w:rsidRPr="0016235B" w:rsidRDefault="009C5BF8" w:rsidP="007B3D4C">
      <w:pPr>
        <w:jc w:val="both"/>
        <w:rPr>
          <w:rFonts w:ascii="Candara" w:hAnsi="Candara"/>
        </w:rPr>
      </w:pPr>
    </w:p>
    <w:p w14:paraId="711D93B0" w14:textId="77777777" w:rsidR="00BA1CFC" w:rsidRPr="0016235B" w:rsidRDefault="00BA1CFC">
      <w:pPr>
        <w:rPr>
          <w:rFonts w:ascii="Candara" w:hAnsi="Candara"/>
          <w:u w:val="single"/>
        </w:rPr>
      </w:pPr>
      <w:r w:rsidRPr="0016235B">
        <w:rPr>
          <w:rFonts w:ascii="Candara" w:hAnsi="Candara"/>
          <w:u w:val="single"/>
        </w:rPr>
        <w:br w:type="page"/>
      </w:r>
    </w:p>
    <w:p w14:paraId="5F0768A3" w14:textId="48AB5D0D" w:rsidR="004E6E44" w:rsidRPr="0016235B" w:rsidRDefault="004E6E44" w:rsidP="00C57731">
      <w:pPr>
        <w:rPr>
          <w:rFonts w:ascii="Candara" w:hAnsi="Candara"/>
          <w:b/>
          <w:color w:val="2F5496" w:themeColor="accent1" w:themeShade="BF"/>
          <w:sz w:val="28"/>
          <w:szCs w:val="28"/>
        </w:rPr>
      </w:pPr>
      <w:r w:rsidRPr="0016235B">
        <w:rPr>
          <w:rFonts w:ascii="Candara" w:hAnsi="Candara"/>
          <w:b/>
          <w:color w:val="2F5496" w:themeColor="accent1" w:themeShade="BF"/>
          <w:sz w:val="28"/>
          <w:szCs w:val="28"/>
        </w:rPr>
        <w:lastRenderedPageBreak/>
        <w:t>SERVICE SPECIFIC AVAILABILITY AND READINESS</w:t>
      </w:r>
    </w:p>
    <w:p w14:paraId="7F284A26" w14:textId="51966FA9" w:rsidR="00C7109E" w:rsidRPr="0016235B" w:rsidRDefault="00627675" w:rsidP="005722F2">
      <w:pPr>
        <w:pStyle w:val="Heading2"/>
        <w:numPr>
          <w:ilvl w:val="1"/>
          <w:numId w:val="25"/>
        </w:numPr>
        <w:rPr>
          <w:rFonts w:ascii="Candara" w:hAnsi="Candara"/>
          <w:b/>
          <w:sz w:val="28"/>
          <w:szCs w:val="28"/>
        </w:rPr>
      </w:pPr>
      <w:bookmarkStart w:id="25" w:name="_Toc11494038"/>
      <w:r w:rsidRPr="0016235B">
        <w:rPr>
          <w:rFonts w:ascii="Candara" w:hAnsi="Candara"/>
          <w:b/>
          <w:sz w:val="28"/>
          <w:szCs w:val="28"/>
        </w:rPr>
        <w:t>Basic Obstetrics</w:t>
      </w:r>
      <w:bookmarkEnd w:id="25"/>
    </w:p>
    <w:p w14:paraId="15BE2675" w14:textId="639DEB52" w:rsidR="00F35802" w:rsidRPr="0016235B" w:rsidRDefault="00F35802" w:rsidP="00E206DB">
      <w:pPr>
        <w:jc w:val="both"/>
        <w:rPr>
          <w:rFonts w:ascii="Candara" w:eastAsia="MS Mincho" w:hAnsi="Candara"/>
          <w:sz w:val="24"/>
          <w:szCs w:val="24"/>
        </w:rPr>
      </w:pPr>
      <w:r w:rsidRPr="0016235B">
        <w:rPr>
          <w:rFonts w:ascii="Candara" w:eastAsia="MS Mincho" w:hAnsi="Candara"/>
          <w:sz w:val="24"/>
          <w:szCs w:val="24"/>
        </w:rPr>
        <w:t xml:space="preserve">Basic </w:t>
      </w:r>
      <w:r w:rsidR="00200541" w:rsidRPr="0016235B">
        <w:rPr>
          <w:rFonts w:ascii="Candara" w:eastAsia="MS Mincho" w:hAnsi="Candara"/>
          <w:sz w:val="24"/>
          <w:szCs w:val="24"/>
        </w:rPr>
        <w:t>o</w:t>
      </w:r>
      <w:r w:rsidRPr="0016235B">
        <w:rPr>
          <w:rFonts w:ascii="Candara" w:eastAsia="MS Mincho" w:hAnsi="Candara"/>
          <w:sz w:val="24"/>
          <w:szCs w:val="24"/>
        </w:rPr>
        <w:t>bstetric</w:t>
      </w:r>
      <w:r w:rsidR="00200541" w:rsidRPr="0016235B">
        <w:rPr>
          <w:rFonts w:ascii="Candara" w:eastAsia="MS Mincho" w:hAnsi="Candara"/>
          <w:sz w:val="24"/>
          <w:szCs w:val="24"/>
        </w:rPr>
        <w:t xml:space="preserve"> care</w:t>
      </w:r>
      <w:r w:rsidRPr="0016235B">
        <w:rPr>
          <w:rFonts w:ascii="Candara" w:eastAsia="MS Mincho" w:hAnsi="Candara"/>
          <w:sz w:val="24"/>
          <w:szCs w:val="24"/>
        </w:rPr>
        <w:t xml:space="preserve"> is designed to help protect mothers and their children in adverse environments. The goal was to assess the availability of essentials needed to manage the common illness and problems encountered during pregnancy, </w:t>
      </w:r>
      <w:r w:rsidR="00200541" w:rsidRPr="0016235B">
        <w:rPr>
          <w:rFonts w:ascii="Candara" w:eastAsia="MS Mincho" w:hAnsi="Candara"/>
          <w:sz w:val="24"/>
          <w:szCs w:val="24"/>
        </w:rPr>
        <w:t>to</w:t>
      </w:r>
      <w:r w:rsidRPr="0016235B">
        <w:rPr>
          <w:rFonts w:ascii="Candara" w:eastAsia="MS Mincho" w:hAnsi="Candara"/>
          <w:sz w:val="24"/>
          <w:szCs w:val="24"/>
        </w:rPr>
        <w:t xml:space="preserve"> save the life of the mother, protect her from squalene of a difficult pregnancy or delivery, and deliver the infant in the best possible conditions.</w:t>
      </w:r>
    </w:p>
    <w:p w14:paraId="39BA149E" w14:textId="30B959B4" w:rsidR="00C24C56" w:rsidRPr="0016235B" w:rsidRDefault="006674A1" w:rsidP="00E206DB">
      <w:pPr>
        <w:jc w:val="both"/>
        <w:rPr>
          <w:rFonts w:ascii="Candara" w:eastAsia="MS Mincho" w:hAnsi="Candara"/>
          <w:sz w:val="24"/>
          <w:szCs w:val="24"/>
        </w:rPr>
      </w:pPr>
      <w:r w:rsidRPr="0016235B">
        <w:rPr>
          <w:rFonts w:ascii="Candara" w:eastAsia="MS Mincho" w:hAnsi="Candara"/>
          <w:sz w:val="24"/>
          <w:szCs w:val="24"/>
        </w:rPr>
        <w:t>F</w:t>
      </w:r>
      <w:r w:rsidR="00C13FC2" w:rsidRPr="0016235B">
        <w:rPr>
          <w:rFonts w:ascii="Candara" w:eastAsia="MS Mincho" w:hAnsi="Candara"/>
          <w:sz w:val="24"/>
          <w:szCs w:val="24"/>
        </w:rPr>
        <w:t>acilities which offered delivery and/or new-born care services</w:t>
      </w:r>
      <w:r w:rsidRPr="0016235B">
        <w:rPr>
          <w:rFonts w:ascii="Candara" w:eastAsia="MS Mincho" w:hAnsi="Candara"/>
          <w:sz w:val="24"/>
          <w:szCs w:val="24"/>
        </w:rPr>
        <w:t xml:space="preserve"> were assessed on </w:t>
      </w:r>
      <w:r w:rsidR="005A1B61" w:rsidRPr="0016235B">
        <w:rPr>
          <w:rFonts w:ascii="Candara" w:eastAsia="MS Mincho" w:hAnsi="Candara"/>
          <w:sz w:val="24"/>
          <w:szCs w:val="24"/>
        </w:rPr>
        <w:t>seven services which define basic obstetrics</w:t>
      </w:r>
      <w:r w:rsidRPr="0016235B">
        <w:rPr>
          <w:rFonts w:ascii="Candara" w:eastAsia="MS Mincho" w:hAnsi="Candara"/>
          <w:sz w:val="24"/>
          <w:szCs w:val="24"/>
        </w:rPr>
        <w:t xml:space="preserve">; administration of oxytocin, </w:t>
      </w:r>
      <w:r w:rsidR="00095C2C" w:rsidRPr="0016235B">
        <w:rPr>
          <w:rFonts w:ascii="Candara" w:eastAsia="MS Mincho" w:hAnsi="Candara"/>
          <w:sz w:val="24"/>
          <w:szCs w:val="24"/>
        </w:rPr>
        <w:t xml:space="preserve">administration of magnesium sulphate for management of eclampsia, </w:t>
      </w:r>
      <w:r w:rsidR="00CE5CFF" w:rsidRPr="0016235B">
        <w:rPr>
          <w:rFonts w:ascii="Candara" w:eastAsia="MS Mincho" w:hAnsi="Candara"/>
          <w:sz w:val="24"/>
          <w:szCs w:val="24"/>
        </w:rPr>
        <w:t xml:space="preserve">administration of antibiotics, </w:t>
      </w:r>
      <w:r w:rsidR="00095C2C" w:rsidRPr="0016235B">
        <w:rPr>
          <w:rFonts w:ascii="Candara" w:eastAsia="MS Mincho" w:hAnsi="Candara"/>
          <w:sz w:val="24"/>
          <w:szCs w:val="24"/>
        </w:rPr>
        <w:t>manual removal of placenta, removal of retained products of conception, neonatal resuscitation</w:t>
      </w:r>
      <w:r w:rsidR="00CE5CFF" w:rsidRPr="0016235B">
        <w:rPr>
          <w:rFonts w:ascii="Candara" w:eastAsia="MS Mincho" w:hAnsi="Candara"/>
          <w:sz w:val="24"/>
          <w:szCs w:val="24"/>
        </w:rPr>
        <w:t xml:space="preserve"> and assisted vaginal delivery</w:t>
      </w:r>
      <w:r w:rsidR="00095C2C" w:rsidRPr="0016235B">
        <w:rPr>
          <w:rFonts w:ascii="Candara" w:eastAsia="MS Mincho" w:hAnsi="Candara"/>
          <w:sz w:val="24"/>
          <w:szCs w:val="24"/>
        </w:rPr>
        <w:t>.</w:t>
      </w:r>
    </w:p>
    <w:p w14:paraId="0FB73460" w14:textId="31550948" w:rsidR="00C24C56" w:rsidRPr="0016235B" w:rsidRDefault="00C24C56" w:rsidP="00E46B92">
      <w:pPr>
        <w:spacing w:after="120" w:line="240" w:lineRule="auto"/>
        <w:rPr>
          <w:rFonts w:ascii="Candara" w:eastAsia="Times New Roman" w:hAnsi="Candara" w:cs="Calibri"/>
          <w:b/>
          <w:bCs/>
          <w:iCs/>
          <w:color w:val="000000"/>
          <w:sz w:val="24"/>
          <w:szCs w:val="24"/>
          <w:u w:val="single"/>
        </w:rPr>
      </w:pPr>
      <w:r w:rsidRPr="0016235B">
        <w:rPr>
          <w:rFonts w:ascii="Candara" w:eastAsia="Times New Roman" w:hAnsi="Candara" w:cs="Calibri"/>
          <w:b/>
          <w:bCs/>
          <w:iCs/>
          <w:color w:val="000000"/>
          <w:sz w:val="24"/>
          <w:szCs w:val="24"/>
          <w:u w:val="single"/>
        </w:rPr>
        <w:t>Percent of facilities that offer basic obstetric care services</w:t>
      </w:r>
      <w:r w:rsidR="00CE5CFF" w:rsidRPr="0016235B">
        <w:rPr>
          <w:rFonts w:ascii="Candara" w:eastAsia="Times New Roman" w:hAnsi="Candara" w:cs="Calibri"/>
          <w:b/>
          <w:bCs/>
          <w:iCs/>
          <w:color w:val="000000"/>
          <w:sz w:val="24"/>
          <w:szCs w:val="24"/>
          <w:u w:val="single"/>
        </w:rPr>
        <w:t xml:space="preserve"> (N=166)</w:t>
      </w:r>
    </w:p>
    <w:p w14:paraId="1BB86589" w14:textId="1732FDC8" w:rsidR="00A76577" w:rsidRPr="0016235B" w:rsidRDefault="00627675">
      <w:pPr>
        <w:rPr>
          <w:rFonts w:ascii="Candara" w:hAnsi="Candara"/>
          <w:noProof/>
        </w:rPr>
      </w:pPr>
      <w:r w:rsidRPr="0016235B">
        <w:rPr>
          <w:rFonts w:ascii="Candara" w:hAnsi="Candara"/>
          <w:noProof/>
        </w:rPr>
        <w:drawing>
          <wp:inline distT="0" distB="0" distL="0" distR="0" wp14:anchorId="1A3EAB50" wp14:editId="099AA096">
            <wp:extent cx="5731510" cy="3375025"/>
            <wp:effectExtent l="0" t="0" r="2540" b="15875"/>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A76577" w:rsidRPr="0016235B">
        <w:rPr>
          <w:rFonts w:ascii="Candara" w:hAnsi="Candara"/>
          <w:noProof/>
        </w:rPr>
        <w:t xml:space="preserve"> </w:t>
      </w:r>
    </w:p>
    <w:p w14:paraId="60933C04" w14:textId="77777777" w:rsidR="001A774F" w:rsidRPr="0016235B" w:rsidRDefault="001A774F" w:rsidP="001A774F">
      <w:pPr>
        <w:spacing w:after="0" w:line="240" w:lineRule="auto"/>
        <w:rPr>
          <w:rFonts w:ascii="Candara" w:eastAsia="Times New Roman" w:hAnsi="Candara" w:cs="Calibri"/>
          <w:b/>
          <w:bCs/>
          <w:sz w:val="24"/>
          <w:szCs w:val="24"/>
        </w:rPr>
      </w:pPr>
      <w:r w:rsidRPr="0016235B">
        <w:rPr>
          <w:rFonts w:ascii="Candara" w:eastAsia="Times New Roman" w:hAnsi="Candara" w:cs="Calibri"/>
          <w:b/>
          <w:bCs/>
          <w:sz w:val="24"/>
          <w:szCs w:val="24"/>
        </w:rPr>
        <w:t>Interventions routinely carried out at facility</w:t>
      </w:r>
    </w:p>
    <w:p w14:paraId="0B7242BE" w14:textId="77777777" w:rsidR="001A774F" w:rsidRPr="0016235B" w:rsidRDefault="001A774F" w:rsidP="001A774F">
      <w:pPr>
        <w:tabs>
          <w:tab w:val="left" w:pos="1047"/>
        </w:tabs>
        <w:rPr>
          <w:rFonts w:ascii="Candara" w:hAnsi="Candara"/>
        </w:rPr>
      </w:pPr>
      <w:r w:rsidRPr="0016235B">
        <w:rPr>
          <w:rFonts w:ascii="Candara" w:eastAsia="Times New Roman" w:hAnsi="Candara" w:cs="Calibri"/>
          <w:b/>
          <w:bCs/>
          <w:noProof/>
          <w:sz w:val="24"/>
          <w:szCs w:val="24"/>
        </w:rPr>
        <w:drawing>
          <wp:anchor distT="0" distB="0" distL="114300" distR="114300" simplePos="0" relativeHeight="251695104" behindDoc="1" locked="0" layoutInCell="1" allowOverlap="1" wp14:anchorId="2BDEA4BC" wp14:editId="2652FD90">
            <wp:simplePos x="0" y="0"/>
            <wp:positionH relativeFrom="margin">
              <wp:align>right</wp:align>
            </wp:positionH>
            <wp:positionV relativeFrom="paragraph">
              <wp:posOffset>107950</wp:posOffset>
            </wp:positionV>
            <wp:extent cx="5579110" cy="2400300"/>
            <wp:effectExtent l="0" t="0" r="2540" b="0"/>
            <wp:wrapNone/>
            <wp:docPr id="5" name="Chart 5">
              <a:extLst xmlns:a="http://schemas.openxmlformats.org/drawingml/2006/main">
                <a:ext uri="{FF2B5EF4-FFF2-40B4-BE49-F238E27FC236}">
                  <a16:creationId xmlns:a16="http://schemas.microsoft.com/office/drawing/2014/main" id="{00000000-0008-0000-03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39772BF8" w14:textId="77777777" w:rsidR="001A774F" w:rsidRPr="0016235B" w:rsidRDefault="001A774F" w:rsidP="001A774F">
      <w:pPr>
        <w:rPr>
          <w:rFonts w:ascii="Candara" w:hAnsi="Candara"/>
        </w:rPr>
      </w:pPr>
    </w:p>
    <w:p w14:paraId="374EAEC3" w14:textId="77777777" w:rsidR="001A774F" w:rsidRPr="0016235B" w:rsidRDefault="001A774F" w:rsidP="00251C14">
      <w:pPr>
        <w:tabs>
          <w:tab w:val="left" w:pos="4185"/>
        </w:tabs>
        <w:rPr>
          <w:rFonts w:ascii="Candara" w:hAnsi="Candara"/>
        </w:rPr>
      </w:pPr>
    </w:p>
    <w:p w14:paraId="6119ADAC" w14:textId="77777777" w:rsidR="001A774F" w:rsidRPr="0016235B" w:rsidRDefault="001A774F" w:rsidP="00CE5CFF">
      <w:pPr>
        <w:spacing w:after="120" w:line="240" w:lineRule="auto"/>
        <w:rPr>
          <w:rFonts w:ascii="Candara" w:eastAsia="Times New Roman" w:hAnsi="Candara" w:cs="Calibri"/>
          <w:b/>
          <w:bCs/>
          <w:iCs/>
          <w:color w:val="000000"/>
          <w:sz w:val="24"/>
          <w:szCs w:val="24"/>
          <w:u w:val="single"/>
        </w:rPr>
      </w:pPr>
    </w:p>
    <w:p w14:paraId="31289619" w14:textId="77777777" w:rsidR="001A774F" w:rsidRPr="0016235B" w:rsidRDefault="001A774F" w:rsidP="00CE5CFF">
      <w:pPr>
        <w:spacing w:after="120" w:line="240" w:lineRule="auto"/>
        <w:rPr>
          <w:rFonts w:ascii="Candara" w:eastAsia="Times New Roman" w:hAnsi="Candara" w:cs="Calibri"/>
          <w:b/>
          <w:bCs/>
          <w:iCs/>
          <w:color w:val="000000"/>
          <w:sz w:val="24"/>
          <w:szCs w:val="24"/>
          <w:u w:val="single"/>
        </w:rPr>
      </w:pPr>
    </w:p>
    <w:p w14:paraId="7D130529" w14:textId="77777777" w:rsidR="001A774F" w:rsidRPr="0016235B" w:rsidRDefault="001A774F" w:rsidP="00CE5CFF">
      <w:pPr>
        <w:spacing w:after="120" w:line="240" w:lineRule="auto"/>
        <w:rPr>
          <w:rFonts w:ascii="Candara" w:eastAsia="Times New Roman" w:hAnsi="Candara" w:cs="Calibri"/>
          <w:b/>
          <w:bCs/>
          <w:iCs/>
          <w:color w:val="000000"/>
          <w:sz w:val="24"/>
          <w:szCs w:val="24"/>
          <w:u w:val="single"/>
        </w:rPr>
      </w:pPr>
    </w:p>
    <w:p w14:paraId="5DB9EC0E" w14:textId="77777777" w:rsidR="001A774F" w:rsidRPr="0016235B" w:rsidRDefault="001A774F" w:rsidP="00CE5CFF">
      <w:pPr>
        <w:spacing w:after="120" w:line="240" w:lineRule="auto"/>
        <w:rPr>
          <w:rFonts w:ascii="Candara" w:eastAsia="Times New Roman" w:hAnsi="Candara" w:cs="Calibri"/>
          <w:b/>
          <w:bCs/>
          <w:iCs/>
          <w:color w:val="000000"/>
          <w:sz w:val="24"/>
          <w:szCs w:val="24"/>
          <w:u w:val="single"/>
        </w:rPr>
      </w:pPr>
    </w:p>
    <w:p w14:paraId="40A1C029" w14:textId="77777777" w:rsidR="001A774F" w:rsidRPr="0016235B" w:rsidRDefault="001A774F" w:rsidP="00CE5CFF">
      <w:pPr>
        <w:spacing w:after="120" w:line="240" w:lineRule="auto"/>
        <w:rPr>
          <w:rFonts w:ascii="Candara" w:eastAsia="Times New Roman" w:hAnsi="Candara" w:cs="Calibri"/>
          <w:b/>
          <w:bCs/>
          <w:iCs/>
          <w:color w:val="000000"/>
          <w:sz w:val="24"/>
          <w:szCs w:val="24"/>
          <w:u w:val="single"/>
        </w:rPr>
      </w:pPr>
    </w:p>
    <w:p w14:paraId="51B3120D" w14:textId="77777777" w:rsidR="005A1B61" w:rsidRPr="0016235B" w:rsidRDefault="005A1B61" w:rsidP="00CE5CFF">
      <w:pPr>
        <w:spacing w:after="120" w:line="240" w:lineRule="auto"/>
        <w:rPr>
          <w:rFonts w:ascii="Candara" w:eastAsia="Times New Roman" w:hAnsi="Candara" w:cs="Calibri"/>
          <w:b/>
          <w:bCs/>
          <w:iCs/>
          <w:color w:val="000000"/>
          <w:sz w:val="24"/>
          <w:szCs w:val="24"/>
          <w:u w:val="single"/>
        </w:rPr>
      </w:pPr>
    </w:p>
    <w:tbl>
      <w:tblPr>
        <w:tblStyle w:val="TableGrid"/>
        <w:tblW w:w="0" w:type="auto"/>
        <w:tblLook w:val="04A0" w:firstRow="1" w:lastRow="0" w:firstColumn="1" w:lastColumn="0" w:noHBand="0" w:noVBand="1"/>
      </w:tblPr>
      <w:tblGrid>
        <w:gridCol w:w="9016"/>
      </w:tblGrid>
      <w:tr w:rsidR="00DE1D57" w:rsidRPr="0016235B" w14:paraId="6CDB1469" w14:textId="77777777" w:rsidTr="007B6268">
        <w:tc>
          <w:tcPr>
            <w:tcW w:w="9016" w:type="dxa"/>
          </w:tcPr>
          <w:p w14:paraId="1BECF761" w14:textId="77777777" w:rsidR="00DE1D57" w:rsidRPr="0016235B" w:rsidRDefault="00DE1D57" w:rsidP="007B6268">
            <w:pPr>
              <w:tabs>
                <w:tab w:val="left" w:pos="1571"/>
              </w:tabs>
              <w:rPr>
                <w:rFonts w:ascii="Candara" w:hAnsi="Candara"/>
                <w:b/>
              </w:rPr>
            </w:pPr>
            <w:r w:rsidRPr="0016235B">
              <w:rPr>
                <w:rFonts w:ascii="Candara" w:hAnsi="Candara"/>
                <w:b/>
              </w:rPr>
              <w:lastRenderedPageBreak/>
              <w:t>Key findings</w:t>
            </w:r>
          </w:p>
        </w:tc>
      </w:tr>
      <w:tr w:rsidR="00DE1D57" w:rsidRPr="0016235B" w14:paraId="36FEE7B5" w14:textId="77777777" w:rsidTr="007B6268">
        <w:tc>
          <w:tcPr>
            <w:tcW w:w="9016" w:type="dxa"/>
          </w:tcPr>
          <w:p w14:paraId="7CBA2870" w14:textId="56627D4E" w:rsidR="00DE1D57" w:rsidRPr="0016235B" w:rsidRDefault="00DE1D57" w:rsidP="00DE1D57">
            <w:pPr>
              <w:pStyle w:val="ListParagraph"/>
              <w:numPr>
                <w:ilvl w:val="0"/>
                <w:numId w:val="3"/>
              </w:numPr>
              <w:tabs>
                <w:tab w:val="left" w:pos="1047"/>
              </w:tabs>
              <w:jc w:val="both"/>
              <w:rPr>
                <w:rFonts w:ascii="Candara" w:hAnsi="Candara"/>
              </w:rPr>
            </w:pPr>
            <w:r w:rsidRPr="0016235B">
              <w:rPr>
                <w:rFonts w:ascii="Candara" w:hAnsi="Candara"/>
              </w:rPr>
              <w:t xml:space="preserve">Nationally, 53% of facilities assessed were offering delivery/newborn care services </w:t>
            </w:r>
          </w:p>
          <w:p w14:paraId="0CAE57C9" w14:textId="77777777" w:rsidR="00DE1D57" w:rsidRPr="0016235B" w:rsidRDefault="00DE1D57" w:rsidP="00DE1D57">
            <w:pPr>
              <w:pStyle w:val="ListParagraph"/>
              <w:numPr>
                <w:ilvl w:val="0"/>
                <w:numId w:val="3"/>
              </w:numPr>
              <w:tabs>
                <w:tab w:val="left" w:pos="1047"/>
              </w:tabs>
              <w:jc w:val="both"/>
              <w:rPr>
                <w:rFonts w:ascii="Candara" w:hAnsi="Candara"/>
              </w:rPr>
            </w:pPr>
            <w:r w:rsidRPr="0016235B">
              <w:rPr>
                <w:rFonts w:ascii="Candara" w:hAnsi="Candara"/>
              </w:rPr>
              <w:t>Of the 53%, only 30% were providing all the components of Basic emergency obstetric care (</w:t>
            </w:r>
            <w:proofErr w:type="spellStart"/>
            <w:r w:rsidRPr="0016235B">
              <w:rPr>
                <w:rFonts w:ascii="Candara" w:hAnsi="Candara"/>
              </w:rPr>
              <w:t>BEmOC</w:t>
            </w:r>
            <w:proofErr w:type="spellEnd"/>
            <w:r w:rsidRPr="0016235B">
              <w:rPr>
                <w:rFonts w:ascii="Candara" w:hAnsi="Candara"/>
              </w:rPr>
              <w:t>) consisting seven services</w:t>
            </w:r>
            <w:r w:rsidRPr="0016235B">
              <w:rPr>
                <w:rFonts w:ascii="Candara" w:hAnsi="Candara"/>
              </w:rPr>
              <w:tab/>
            </w:r>
            <w:r w:rsidRPr="0016235B">
              <w:rPr>
                <w:rFonts w:ascii="Candara" w:hAnsi="Candara"/>
              </w:rPr>
              <w:tab/>
            </w:r>
            <w:r w:rsidRPr="0016235B">
              <w:rPr>
                <w:rFonts w:ascii="Candara" w:hAnsi="Candara"/>
              </w:rPr>
              <w:tab/>
            </w:r>
          </w:p>
          <w:p w14:paraId="176A80AE" w14:textId="77777777" w:rsidR="00DE1D57" w:rsidRPr="0016235B" w:rsidRDefault="00DE1D57" w:rsidP="00DE1D57">
            <w:pPr>
              <w:pStyle w:val="ListParagraph"/>
              <w:numPr>
                <w:ilvl w:val="0"/>
                <w:numId w:val="3"/>
              </w:numPr>
              <w:tabs>
                <w:tab w:val="left" w:pos="1047"/>
              </w:tabs>
              <w:jc w:val="both"/>
              <w:rPr>
                <w:rFonts w:ascii="Candara" w:hAnsi="Candara"/>
              </w:rPr>
            </w:pPr>
            <w:r w:rsidRPr="0016235B">
              <w:rPr>
                <w:rFonts w:ascii="Candara" w:hAnsi="Candara"/>
              </w:rPr>
              <w:t xml:space="preserve">Parenteral administration of oxytocin and parental administration of antibiotics were most available basic obstetric care services with 91% while assisted vaginal delivery was the least available at 52% </w:t>
            </w:r>
          </w:p>
          <w:p w14:paraId="2BAAE79F" w14:textId="19B7B09E" w:rsidR="00DE1D57" w:rsidRPr="0016235B" w:rsidRDefault="00DE1D57" w:rsidP="00DE1D57">
            <w:pPr>
              <w:pStyle w:val="ListParagraph"/>
              <w:numPr>
                <w:ilvl w:val="0"/>
                <w:numId w:val="3"/>
              </w:numPr>
              <w:tabs>
                <w:tab w:val="left" w:pos="1571"/>
              </w:tabs>
              <w:jc w:val="both"/>
              <w:rPr>
                <w:rFonts w:ascii="Candara" w:hAnsi="Candara"/>
              </w:rPr>
            </w:pPr>
            <w:r w:rsidRPr="0016235B">
              <w:rPr>
                <w:rFonts w:ascii="Candara" w:hAnsi="Candara"/>
              </w:rPr>
              <w:t xml:space="preserve">Nearly all facilities assessed implement </w:t>
            </w:r>
            <w:r w:rsidRPr="0016235B">
              <w:rPr>
                <w:rFonts w:ascii="Candara" w:hAnsi="Candara" w:cs="Calibri"/>
                <w:szCs w:val="20"/>
                <w:lang w:val="en-GB"/>
              </w:rPr>
              <w:t>routinely carried out interventions to conduct safe deliveries.</w:t>
            </w:r>
          </w:p>
          <w:p w14:paraId="568492C1" w14:textId="63E941AF" w:rsidR="00DE1D57" w:rsidRPr="0016235B" w:rsidRDefault="000E1A5E" w:rsidP="00DE1D57">
            <w:pPr>
              <w:pStyle w:val="ListParagraph"/>
              <w:numPr>
                <w:ilvl w:val="0"/>
                <w:numId w:val="3"/>
              </w:numPr>
              <w:tabs>
                <w:tab w:val="left" w:pos="1571"/>
              </w:tabs>
              <w:jc w:val="both"/>
              <w:rPr>
                <w:rFonts w:ascii="Candara" w:hAnsi="Candara"/>
              </w:rPr>
            </w:pPr>
            <w:r>
              <w:rPr>
                <w:rFonts w:ascii="Candara" w:hAnsi="Candara"/>
              </w:rPr>
              <w:t>O</w:t>
            </w:r>
            <w:r w:rsidR="00DE1D57" w:rsidRPr="0016235B">
              <w:rPr>
                <w:rFonts w:ascii="Candara" w:hAnsi="Candara"/>
              </w:rPr>
              <w:t>nly 84% of the facilities assessed use</w:t>
            </w:r>
            <w:r w:rsidR="006A5D18">
              <w:rPr>
                <w:rFonts w:ascii="Candara" w:hAnsi="Candara"/>
              </w:rPr>
              <w:t>d</w:t>
            </w:r>
            <w:r w:rsidR="00DE1D57" w:rsidRPr="0016235B">
              <w:rPr>
                <w:rFonts w:ascii="Candara" w:hAnsi="Candara"/>
              </w:rPr>
              <w:t xml:space="preserve"> partograph</w:t>
            </w:r>
            <w:r w:rsidR="006A5D18">
              <w:rPr>
                <w:rFonts w:ascii="Candara" w:hAnsi="Candara"/>
              </w:rPr>
              <w:t>s</w:t>
            </w:r>
            <w:r w:rsidR="00DE1D57" w:rsidRPr="0016235B">
              <w:rPr>
                <w:rFonts w:ascii="Candara" w:hAnsi="Candara"/>
              </w:rPr>
              <w:t xml:space="preserve"> in the monitoring and management of childbirth</w:t>
            </w:r>
          </w:p>
        </w:tc>
      </w:tr>
    </w:tbl>
    <w:p w14:paraId="3D66C349" w14:textId="77777777" w:rsidR="00DE1D57" w:rsidRPr="0016235B" w:rsidRDefault="00DE1D57" w:rsidP="00CE5CFF">
      <w:pPr>
        <w:spacing w:after="120" w:line="240" w:lineRule="auto"/>
        <w:rPr>
          <w:rFonts w:ascii="Candara" w:eastAsia="Times New Roman" w:hAnsi="Candara" w:cs="Calibri"/>
          <w:b/>
          <w:bCs/>
          <w:iCs/>
          <w:color w:val="000000"/>
          <w:sz w:val="24"/>
          <w:szCs w:val="24"/>
          <w:u w:val="single"/>
        </w:rPr>
      </w:pPr>
    </w:p>
    <w:p w14:paraId="2651E9F9" w14:textId="3B7D0FAE" w:rsidR="00CE5CFF" w:rsidRPr="0016235B" w:rsidRDefault="00CE5CFF" w:rsidP="00CE5CFF">
      <w:pPr>
        <w:spacing w:after="120" w:line="240" w:lineRule="auto"/>
        <w:rPr>
          <w:rFonts w:ascii="Candara" w:eastAsia="Times New Roman" w:hAnsi="Candara" w:cs="Calibri"/>
          <w:b/>
          <w:bCs/>
          <w:iCs/>
          <w:color w:val="000000"/>
          <w:sz w:val="24"/>
          <w:szCs w:val="24"/>
          <w:u w:val="single"/>
        </w:rPr>
      </w:pPr>
      <w:r w:rsidRPr="0016235B">
        <w:rPr>
          <w:rFonts w:ascii="Candara" w:eastAsia="Times New Roman" w:hAnsi="Candara" w:cs="Calibri"/>
          <w:b/>
          <w:bCs/>
          <w:iCs/>
          <w:color w:val="000000"/>
          <w:sz w:val="24"/>
          <w:szCs w:val="24"/>
          <w:u w:val="single"/>
        </w:rPr>
        <w:t xml:space="preserve">Percent of facilities that offer basic obstetric care services by key </w:t>
      </w:r>
      <w:proofErr w:type="spellStart"/>
      <w:r w:rsidRPr="0016235B">
        <w:rPr>
          <w:rFonts w:ascii="Candara" w:eastAsia="Times New Roman" w:hAnsi="Candara" w:cs="Calibri"/>
          <w:b/>
          <w:bCs/>
          <w:iCs/>
          <w:color w:val="000000"/>
          <w:sz w:val="24"/>
          <w:szCs w:val="24"/>
          <w:u w:val="single"/>
        </w:rPr>
        <w:t>stratifiers</w:t>
      </w:r>
      <w:proofErr w:type="spellEnd"/>
      <w:r w:rsidRPr="0016235B">
        <w:rPr>
          <w:rFonts w:ascii="Candara" w:eastAsia="Times New Roman" w:hAnsi="Candara" w:cs="Calibri"/>
          <w:b/>
          <w:bCs/>
          <w:iCs/>
          <w:color w:val="000000"/>
          <w:sz w:val="24"/>
          <w:szCs w:val="24"/>
          <w:u w:val="single"/>
        </w:rPr>
        <w:t xml:space="preserve"> (N=166)</w:t>
      </w:r>
    </w:p>
    <w:p w14:paraId="17BFDE0A" w14:textId="261A0D52" w:rsidR="00F35802" w:rsidRPr="0016235B" w:rsidRDefault="00221E0D" w:rsidP="00E206DB">
      <w:pPr>
        <w:rPr>
          <w:rFonts w:ascii="Candara" w:hAnsi="Candara"/>
        </w:rPr>
      </w:pPr>
      <w:r w:rsidRPr="0016235B">
        <w:rPr>
          <w:rFonts w:ascii="Candara" w:hAnsi="Candara"/>
          <w:noProof/>
        </w:rPr>
        <w:drawing>
          <wp:inline distT="0" distB="0" distL="0" distR="0" wp14:anchorId="507DCEFE" wp14:editId="47E9A347">
            <wp:extent cx="5731510" cy="3477260"/>
            <wp:effectExtent l="0" t="0" r="2540" b="8890"/>
            <wp:docPr id="116" name="Chart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831B37E" w14:textId="77777777" w:rsidR="00672B04" w:rsidRPr="0016235B" w:rsidRDefault="00672B04" w:rsidP="00E206DB">
      <w:pPr>
        <w:rPr>
          <w:rFonts w:ascii="Candara" w:hAnsi="Candara"/>
        </w:rPr>
      </w:pPr>
    </w:p>
    <w:tbl>
      <w:tblPr>
        <w:tblStyle w:val="TableGrid"/>
        <w:tblW w:w="0" w:type="auto"/>
        <w:tblLook w:val="04A0" w:firstRow="1" w:lastRow="0" w:firstColumn="1" w:lastColumn="0" w:noHBand="0" w:noVBand="1"/>
      </w:tblPr>
      <w:tblGrid>
        <w:gridCol w:w="9242"/>
      </w:tblGrid>
      <w:tr w:rsidR="00F35802" w:rsidRPr="0016235B" w14:paraId="77784B1C" w14:textId="77777777" w:rsidTr="00E206DB">
        <w:tc>
          <w:tcPr>
            <w:tcW w:w="9350" w:type="dxa"/>
          </w:tcPr>
          <w:p w14:paraId="1D2D8C9E" w14:textId="77B2EDA2" w:rsidR="00F35802" w:rsidRPr="0016235B" w:rsidRDefault="00F35802" w:rsidP="00F35802">
            <w:pPr>
              <w:tabs>
                <w:tab w:val="left" w:pos="1047"/>
              </w:tabs>
              <w:rPr>
                <w:rFonts w:ascii="Candara" w:hAnsi="Candara"/>
                <w:b/>
              </w:rPr>
            </w:pPr>
            <w:r w:rsidRPr="0016235B">
              <w:rPr>
                <w:rFonts w:ascii="Candara" w:hAnsi="Candara"/>
                <w:b/>
              </w:rPr>
              <w:t>Key findings</w:t>
            </w:r>
          </w:p>
        </w:tc>
      </w:tr>
      <w:tr w:rsidR="00F35802" w:rsidRPr="0016235B" w14:paraId="0B904FFA" w14:textId="77777777" w:rsidTr="00E206DB">
        <w:tc>
          <w:tcPr>
            <w:tcW w:w="9350" w:type="dxa"/>
          </w:tcPr>
          <w:p w14:paraId="7706674E" w14:textId="1BC0D209" w:rsidR="003116CC" w:rsidRPr="0016235B" w:rsidRDefault="003116CC" w:rsidP="008A3E84">
            <w:pPr>
              <w:pStyle w:val="ListParagraph"/>
              <w:numPr>
                <w:ilvl w:val="0"/>
                <w:numId w:val="2"/>
              </w:numPr>
              <w:tabs>
                <w:tab w:val="left" w:pos="1047"/>
              </w:tabs>
              <w:jc w:val="both"/>
              <w:rPr>
                <w:rFonts w:ascii="Candara" w:hAnsi="Candara"/>
              </w:rPr>
            </w:pPr>
            <w:r w:rsidRPr="0016235B">
              <w:rPr>
                <w:rFonts w:ascii="Candara" w:hAnsi="Candara"/>
              </w:rPr>
              <w:t xml:space="preserve">All </w:t>
            </w:r>
            <w:r w:rsidR="00A324E0" w:rsidRPr="0016235B">
              <w:rPr>
                <w:rFonts w:ascii="Candara" w:hAnsi="Candara"/>
              </w:rPr>
              <w:t>Regional R</w:t>
            </w:r>
            <w:r w:rsidRPr="0016235B">
              <w:rPr>
                <w:rFonts w:ascii="Candara" w:hAnsi="Candara"/>
              </w:rPr>
              <w:t xml:space="preserve">eferral </w:t>
            </w:r>
            <w:r w:rsidR="00A324E0" w:rsidRPr="0016235B">
              <w:rPr>
                <w:rFonts w:ascii="Candara" w:hAnsi="Candara"/>
              </w:rPr>
              <w:t>Hospitals</w:t>
            </w:r>
            <w:r w:rsidRPr="0016235B">
              <w:rPr>
                <w:rFonts w:ascii="Candara" w:hAnsi="Candara"/>
              </w:rPr>
              <w:t xml:space="preserve"> </w:t>
            </w:r>
            <w:r w:rsidR="00A324E0" w:rsidRPr="0016235B">
              <w:rPr>
                <w:rFonts w:ascii="Candara" w:hAnsi="Candara"/>
              </w:rPr>
              <w:t xml:space="preserve">had </w:t>
            </w:r>
            <w:r w:rsidRPr="0016235B">
              <w:rPr>
                <w:rFonts w:ascii="Candara" w:hAnsi="Candara"/>
              </w:rPr>
              <w:t>basic obstetric care services</w:t>
            </w:r>
            <w:r w:rsidR="00A324E0" w:rsidRPr="0016235B">
              <w:rPr>
                <w:rFonts w:ascii="Candara" w:hAnsi="Candara"/>
              </w:rPr>
              <w:t>, General Hospitals stood at 96% and the least availability was at HC II at 38%</w:t>
            </w:r>
          </w:p>
          <w:p w14:paraId="4F4653D3" w14:textId="70550770" w:rsidR="00A324E0" w:rsidRPr="0016235B" w:rsidRDefault="00A324E0" w:rsidP="008A3E84">
            <w:pPr>
              <w:pStyle w:val="ListParagraph"/>
              <w:numPr>
                <w:ilvl w:val="0"/>
                <w:numId w:val="2"/>
              </w:numPr>
              <w:tabs>
                <w:tab w:val="left" w:pos="1047"/>
              </w:tabs>
              <w:jc w:val="both"/>
              <w:rPr>
                <w:rFonts w:ascii="Candara" w:hAnsi="Candara"/>
              </w:rPr>
            </w:pPr>
            <w:r w:rsidRPr="0016235B">
              <w:rPr>
                <w:rFonts w:ascii="Candara" w:hAnsi="Candara"/>
              </w:rPr>
              <w:t>There is no significant differen</w:t>
            </w:r>
            <w:r w:rsidR="00A714F9" w:rsidRPr="0016235B">
              <w:rPr>
                <w:rFonts w:ascii="Candara" w:hAnsi="Candara"/>
              </w:rPr>
              <w:t xml:space="preserve">ce in basic obstetric care service by ownership </w:t>
            </w:r>
            <w:r w:rsidRPr="0016235B">
              <w:rPr>
                <w:rFonts w:ascii="Candara" w:hAnsi="Candara"/>
              </w:rPr>
              <w:t>(Public 58%</w:t>
            </w:r>
            <w:r w:rsidR="00221E0D" w:rsidRPr="0016235B">
              <w:rPr>
                <w:rFonts w:ascii="Candara" w:hAnsi="Candara"/>
              </w:rPr>
              <w:t xml:space="preserve">, </w:t>
            </w:r>
            <w:r w:rsidRPr="0016235B">
              <w:rPr>
                <w:rFonts w:ascii="Candara" w:hAnsi="Candara"/>
              </w:rPr>
              <w:t>Private 48%)</w:t>
            </w:r>
            <w:r w:rsidR="00A714F9" w:rsidRPr="0016235B">
              <w:rPr>
                <w:rFonts w:ascii="Candara" w:hAnsi="Candara"/>
              </w:rPr>
              <w:t xml:space="preserve"> </w:t>
            </w:r>
          </w:p>
          <w:p w14:paraId="12562C24" w14:textId="746F0FAC" w:rsidR="00A714F9" w:rsidRPr="0016235B" w:rsidRDefault="00A714F9" w:rsidP="008A3E84">
            <w:pPr>
              <w:pStyle w:val="ListParagraph"/>
              <w:numPr>
                <w:ilvl w:val="0"/>
                <w:numId w:val="2"/>
              </w:numPr>
              <w:tabs>
                <w:tab w:val="left" w:pos="1047"/>
              </w:tabs>
              <w:jc w:val="both"/>
              <w:rPr>
                <w:rFonts w:ascii="Candara" w:hAnsi="Candara"/>
              </w:rPr>
            </w:pPr>
            <w:r w:rsidRPr="0016235B">
              <w:rPr>
                <w:rFonts w:ascii="Candara" w:hAnsi="Candara"/>
              </w:rPr>
              <w:t>The basic obstetric services were more available in the rural based facilities (61%) than the urban based facilities (43%)</w:t>
            </w:r>
          </w:p>
          <w:p w14:paraId="5CE65679" w14:textId="5301BD5E" w:rsidR="00A324E0" w:rsidRPr="0016235B" w:rsidRDefault="00A714F9" w:rsidP="008A3E84">
            <w:pPr>
              <w:pStyle w:val="ListParagraph"/>
              <w:numPr>
                <w:ilvl w:val="0"/>
                <w:numId w:val="2"/>
              </w:numPr>
              <w:tabs>
                <w:tab w:val="left" w:pos="1047"/>
              </w:tabs>
              <w:jc w:val="both"/>
              <w:rPr>
                <w:rFonts w:ascii="Candara" w:hAnsi="Candara"/>
              </w:rPr>
            </w:pPr>
            <w:r w:rsidRPr="0016235B">
              <w:rPr>
                <w:rFonts w:ascii="Candara" w:hAnsi="Candara"/>
              </w:rPr>
              <w:t xml:space="preserve">The Karamoja and </w:t>
            </w:r>
            <w:r w:rsidR="00221E0D" w:rsidRPr="0016235B">
              <w:rPr>
                <w:rFonts w:ascii="Candara" w:hAnsi="Candara"/>
              </w:rPr>
              <w:t>M</w:t>
            </w:r>
            <w:r w:rsidRPr="0016235B">
              <w:rPr>
                <w:rFonts w:ascii="Candara" w:hAnsi="Candara"/>
              </w:rPr>
              <w:t>id-</w:t>
            </w:r>
            <w:r w:rsidR="00221E0D" w:rsidRPr="0016235B">
              <w:rPr>
                <w:rFonts w:ascii="Candara" w:hAnsi="Candara"/>
              </w:rPr>
              <w:t>W</w:t>
            </w:r>
            <w:r w:rsidRPr="0016235B">
              <w:rPr>
                <w:rFonts w:ascii="Candara" w:hAnsi="Candara"/>
              </w:rPr>
              <w:t xml:space="preserve">est health facilities had 100% available obstetric care services while </w:t>
            </w:r>
            <w:r w:rsidR="00221E0D" w:rsidRPr="0016235B">
              <w:rPr>
                <w:rFonts w:ascii="Candara" w:hAnsi="Candara"/>
              </w:rPr>
              <w:t>N</w:t>
            </w:r>
            <w:r w:rsidRPr="0016235B">
              <w:rPr>
                <w:rFonts w:ascii="Candara" w:hAnsi="Candara"/>
              </w:rPr>
              <w:t>orth- East was the least with 33%</w:t>
            </w:r>
          </w:p>
        </w:tc>
      </w:tr>
    </w:tbl>
    <w:p w14:paraId="08697060" w14:textId="020EF23C" w:rsidR="00F35802" w:rsidRPr="0016235B" w:rsidRDefault="00F35802" w:rsidP="00F35802">
      <w:pPr>
        <w:tabs>
          <w:tab w:val="left" w:pos="1047"/>
        </w:tabs>
        <w:rPr>
          <w:rFonts w:ascii="Candara" w:hAnsi="Candara"/>
        </w:rPr>
      </w:pPr>
    </w:p>
    <w:p w14:paraId="4E7106CA" w14:textId="77777777" w:rsidR="00CF3C2B" w:rsidRPr="0016235B" w:rsidRDefault="00CF3C2B" w:rsidP="00CF3C2B">
      <w:pPr>
        <w:rPr>
          <w:rFonts w:ascii="Candara" w:hAnsi="Candara"/>
        </w:rPr>
      </w:pPr>
    </w:p>
    <w:p w14:paraId="653FD5F3" w14:textId="77777777" w:rsidR="00CF3C2B" w:rsidRPr="0016235B" w:rsidRDefault="00CF3C2B" w:rsidP="00CF3C2B">
      <w:pPr>
        <w:rPr>
          <w:rFonts w:ascii="Candara" w:hAnsi="Candara"/>
        </w:rPr>
      </w:pPr>
    </w:p>
    <w:p w14:paraId="5B8466FC" w14:textId="77777777" w:rsidR="00CF3C2B" w:rsidRPr="0016235B" w:rsidRDefault="00CF3C2B" w:rsidP="00CF3C2B">
      <w:pPr>
        <w:rPr>
          <w:rFonts w:ascii="Candara" w:hAnsi="Candara"/>
        </w:rPr>
      </w:pPr>
    </w:p>
    <w:p w14:paraId="35EED10A" w14:textId="77777777" w:rsidR="00CF3C2B" w:rsidRPr="0016235B" w:rsidRDefault="00CF3C2B" w:rsidP="00CF3C2B">
      <w:pPr>
        <w:rPr>
          <w:rFonts w:ascii="Candara" w:hAnsi="Candara"/>
        </w:rPr>
      </w:pPr>
    </w:p>
    <w:p w14:paraId="18B91E31" w14:textId="25BFEEBF" w:rsidR="00CF3C2B" w:rsidRPr="0016235B" w:rsidRDefault="00CF3C2B" w:rsidP="00E46B92">
      <w:pPr>
        <w:spacing w:after="0" w:line="240" w:lineRule="auto"/>
        <w:rPr>
          <w:rFonts w:ascii="Candara" w:eastAsia="Times New Roman" w:hAnsi="Candara" w:cs="Calibri"/>
          <w:b/>
          <w:bCs/>
          <w:sz w:val="24"/>
          <w:szCs w:val="24"/>
        </w:rPr>
      </w:pPr>
      <w:r w:rsidRPr="0016235B">
        <w:rPr>
          <w:rFonts w:ascii="Candara" w:eastAsia="Times New Roman" w:hAnsi="Candara" w:cs="Calibri"/>
          <w:b/>
          <w:bCs/>
          <w:sz w:val="24"/>
          <w:szCs w:val="24"/>
        </w:rPr>
        <w:lastRenderedPageBreak/>
        <w:t>Percentage of facilities with basic equipment in the service area</w:t>
      </w:r>
    </w:p>
    <w:p w14:paraId="2693AE43" w14:textId="6B1C7EB2" w:rsidR="00CF3C2B" w:rsidRPr="0016235B" w:rsidRDefault="000B09D6" w:rsidP="00CF3C2B">
      <w:pPr>
        <w:tabs>
          <w:tab w:val="left" w:pos="1571"/>
        </w:tabs>
        <w:rPr>
          <w:rFonts w:ascii="Candara" w:hAnsi="Candara"/>
        </w:rPr>
      </w:pPr>
      <w:r w:rsidRPr="0016235B">
        <w:rPr>
          <w:rFonts w:ascii="Candara" w:hAnsi="Candara"/>
          <w:noProof/>
        </w:rPr>
        <w:drawing>
          <wp:inline distT="0" distB="0" distL="0" distR="0" wp14:anchorId="3F356F58" wp14:editId="06728A42">
            <wp:extent cx="5724525" cy="5153025"/>
            <wp:effectExtent l="0" t="0" r="9525" b="9525"/>
            <wp:docPr id="118" name="Chart 1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A205B2D" w14:textId="77777777" w:rsidR="000B09D6" w:rsidRPr="0016235B" w:rsidRDefault="000B09D6" w:rsidP="00CF3C2B">
      <w:pPr>
        <w:tabs>
          <w:tab w:val="left" w:pos="1571"/>
        </w:tabs>
        <w:rPr>
          <w:rFonts w:ascii="Candara" w:hAnsi="Candara"/>
        </w:rPr>
      </w:pPr>
    </w:p>
    <w:tbl>
      <w:tblPr>
        <w:tblStyle w:val="TableGrid"/>
        <w:tblW w:w="0" w:type="auto"/>
        <w:tblLook w:val="04A0" w:firstRow="1" w:lastRow="0" w:firstColumn="1" w:lastColumn="0" w:noHBand="0" w:noVBand="1"/>
      </w:tblPr>
      <w:tblGrid>
        <w:gridCol w:w="9242"/>
      </w:tblGrid>
      <w:tr w:rsidR="00F67A26" w:rsidRPr="0016235B" w14:paraId="15C086EF" w14:textId="77777777" w:rsidTr="00F67A26">
        <w:tc>
          <w:tcPr>
            <w:tcW w:w="9350" w:type="dxa"/>
          </w:tcPr>
          <w:p w14:paraId="39FF6488" w14:textId="65680682" w:rsidR="00F67A26" w:rsidRPr="0016235B" w:rsidRDefault="00F67A26" w:rsidP="00CF3C2B">
            <w:pPr>
              <w:tabs>
                <w:tab w:val="left" w:pos="1571"/>
              </w:tabs>
              <w:rPr>
                <w:rFonts w:ascii="Candara" w:hAnsi="Candara"/>
                <w:b/>
              </w:rPr>
            </w:pPr>
            <w:r w:rsidRPr="0016235B">
              <w:rPr>
                <w:rFonts w:ascii="Candara" w:hAnsi="Candara"/>
                <w:b/>
              </w:rPr>
              <w:t>Key findings</w:t>
            </w:r>
          </w:p>
        </w:tc>
      </w:tr>
      <w:tr w:rsidR="00F67A26" w:rsidRPr="0016235B" w14:paraId="61B216C5" w14:textId="77777777" w:rsidTr="00F67A26">
        <w:tc>
          <w:tcPr>
            <w:tcW w:w="9350" w:type="dxa"/>
          </w:tcPr>
          <w:p w14:paraId="4D959603" w14:textId="4860FAAB" w:rsidR="00F67A26" w:rsidRPr="0016235B" w:rsidRDefault="00F67A26" w:rsidP="00A046D4">
            <w:pPr>
              <w:pStyle w:val="ListParagraph"/>
              <w:numPr>
                <w:ilvl w:val="0"/>
                <w:numId w:val="4"/>
              </w:numPr>
              <w:tabs>
                <w:tab w:val="left" w:pos="1571"/>
              </w:tabs>
              <w:jc w:val="both"/>
              <w:rPr>
                <w:rFonts w:ascii="Candara" w:hAnsi="Candara"/>
              </w:rPr>
            </w:pPr>
            <w:r w:rsidRPr="0016235B">
              <w:rPr>
                <w:rFonts w:ascii="Candara" w:hAnsi="Candara"/>
              </w:rPr>
              <w:t xml:space="preserve">All facilities assessed had hand washing soap, Alcohol based hand rub, clean running </w:t>
            </w:r>
            <w:r w:rsidR="00A81488" w:rsidRPr="0016235B">
              <w:rPr>
                <w:rFonts w:ascii="Candara" w:hAnsi="Candara"/>
              </w:rPr>
              <w:t>water, blank</w:t>
            </w:r>
            <w:r w:rsidRPr="0016235B">
              <w:rPr>
                <w:rFonts w:ascii="Candara" w:hAnsi="Candara"/>
              </w:rPr>
              <w:t xml:space="preserve"> </w:t>
            </w:r>
            <w:r w:rsidR="00A81488" w:rsidRPr="0016235B">
              <w:rPr>
                <w:rFonts w:ascii="Candara" w:hAnsi="Candara"/>
              </w:rPr>
              <w:t>partograph,</w:t>
            </w:r>
            <w:r w:rsidRPr="0016235B">
              <w:rPr>
                <w:rFonts w:ascii="Candara" w:hAnsi="Candara"/>
              </w:rPr>
              <w:t xml:space="preserve"> surgical latex gloves and suture material with needle </w:t>
            </w:r>
          </w:p>
          <w:p w14:paraId="2358F134" w14:textId="4C7978B3" w:rsidR="00F67A26" w:rsidRPr="0016235B" w:rsidRDefault="00F67A26" w:rsidP="00A046D4">
            <w:pPr>
              <w:pStyle w:val="ListParagraph"/>
              <w:numPr>
                <w:ilvl w:val="0"/>
                <w:numId w:val="4"/>
              </w:numPr>
              <w:tabs>
                <w:tab w:val="left" w:pos="1571"/>
              </w:tabs>
              <w:jc w:val="both"/>
              <w:rPr>
                <w:rFonts w:ascii="Candara" w:hAnsi="Candara"/>
              </w:rPr>
            </w:pPr>
            <w:r w:rsidRPr="0016235B">
              <w:rPr>
                <w:rFonts w:ascii="Candara" w:hAnsi="Candara"/>
              </w:rPr>
              <w:t xml:space="preserve">Nearly </w:t>
            </w:r>
            <w:r w:rsidR="00A81488" w:rsidRPr="0016235B">
              <w:rPr>
                <w:rFonts w:ascii="Candara" w:hAnsi="Candara"/>
              </w:rPr>
              <w:t>half of</w:t>
            </w:r>
            <w:r w:rsidRPr="0016235B">
              <w:rPr>
                <w:rFonts w:ascii="Candara" w:hAnsi="Candara"/>
              </w:rPr>
              <w:t xml:space="preserve"> the facilities assessed lacked the following: Examination </w:t>
            </w:r>
            <w:r w:rsidR="00A81488" w:rsidRPr="0016235B">
              <w:rPr>
                <w:rFonts w:ascii="Candara" w:hAnsi="Candara"/>
              </w:rPr>
              <w:t>light, cord</w:t>
            </w:r>
            <w:r w:rsidRPr="0016235B">
              <w:rPr>
                <w:rFonts w:ascii="Candara" w:hAnsi="Candara"/>
              </w:rPr>
              <w:t xml:space="preserve"> </w:t>
            </w:r>
            <w:r w:rsidR="00A81488" w:rsidRPr="0016235B">
              <w:rPr>
                <w:rFonts w:ascii="Candara" w:hAnsi="Candara"/>
              </w:rPr>
              <w:t>clamp, suction</w:t>
            </w:r>
            <w:r w:rsidRPr="0016235B">
              <w:rPr>
                <w:rFonts w:ascii="Candara" w:hAnsi="Candara"/>
              </w:rPr>
              <w:t xml:space="preserve"> </w:t>
            </w:r>
            <w:r w:rsidR="00A81488" w:rsidRPr="0016235B">
              <w:rPr>
                <w:rFonts w:ascii="Candara" w:hAnsi="Candara"/>
              </w:rPr>
              <w:t>bulb, vacuum</w:t>
            </w:r>
            <w:r w:rsidRPr="0016235B">
              <w:rPr>
                <w:rFonts w:ascii="Candara" w:hAnsi="Candara"/>
              </w:rPr>
              <w:t xml:space="preserve"> </w:t>
            </w:r>
            <w:r w:rsidR="00A81488" w:rsidRPr="0016235B">
              <w:rPr>
                <w:rFonts w:ascii="Candara" w:hAnsi="Candara"/>
              </w:rPr>
              <w:t>aspirator,</w:t>
            </w:r>
            <w:r w:rsidRPr="0016235B">
              <w:rPr>
                <w:rFonts w:ascii="Candara" w:hAnsi="Candara"/>
              </w:rPr>
              <w:t xml:space="preserve"> manual vacuum, </w:t>
            </w:r>
            <w:r w:rsidR="00A81488" w:rsidRPr="0016235B">
              <w:rPr>
                <w:rFonts w:ascii="Candara" w:hAnsi="Candara"/>
              </w:rPr>
              <w:t>extractor, suction catheter, electric suction pump and incubator</w:t>
            </w:r>
          </w:p>
          <w:p w14:paraId="16053AEB" w14:textId="72020484" w:rsidR="00A81488" w:rsidRPr="0016235B" w:rsidRDefault="00A81488" w:rsidP="00A046D4">
            <w:pPr>
              <w:pStyle w:val="ListParagraph"/>
              <w:numPr>
                <w:ilvl w:val="0"/>
                <w:numId w:val="4"/>
              </w:numPr>
              <w:tabs>
                <w:tab w:val="left" w:pos="1571"/>
              </w:tabs>
              <w:jc w:val="both"/>
              <w:rPr>
                <w:rFonts w:ascii="Candara" w:hAnsi="Candara"/>
              </w:rPr>
            </w:pPr>
            <w:r w:rsidRPr="0016235B">
              <w:rPr>
                <w:rFonts w:ascii="Candara" w:hAnsi="Candara"/>
              </w:rPr>
              <w:t xml:space="preserve">Electric pump and incubator were only found in 19% of the facilities assessed </w:t>
            </w:r>
          </w:p>
        </w:tc>
      </w:tr>
    </w:tbl>
    <w:p w14:paraId="7FD54060" w14:textId="2F20B51F" w:rsidR="00AC7B3E" w:rsidRPr="0016235B" w:rsidRDefault="00AC7B3E">
      <w:pPr>
        <w:rPr>
          <w:rFonts w:ascii="Candara" w:eastAsiaTheme="majorEastAsia" w:hAnsi="Candara" w:cstheme="majorBidi"/>
          <w:color w:val="2F5496" w:themeColor="accent1" w:themeShade="BF"/>
          <w:sz w:val="32"/>
          <w:szCs w:val="32"/>
        </w:rPr>
      </w:pPr>
    </w:p>
    <w:p w14:paraId="5CE2CD9D" w14:textId="15362008" w:rsidR="00AC7B3E" w:rsidRPr="0016235B" w:rsidRDefault="003B46F6" w:rsidP="005722F2">
      <w:pPr>
        <w:pStyle w:val="Heading2"/>
        <w:numPr>
          <w:ilvl w:val="1"/>
          <w:numId w:val="25"/>
        </w:numPr>
        <w:rPr>
          <w:rFonts w:ascii="Candara" w:hAnsi="Candara"/>
          <w:b/>
          <w:sz w:val="28"/>
          <w:szCs w:val="28"/>
        </w:rPr>
      </w:pPr>
      <w:bookmarkStart w:id="26" w:name="_Toc11494039"/>
      <w:r w:rsidRPr="0016235B">
        <w:rPr>
          <w:rFonts w:ascii="Candara" w:hAnsi="Candara"/>
          <w:b/>
          <w:sz w:val="28"/>
          <w:szCs w:val="28"/>
        </w:rPr>
        <w:t>Comprehensive Obstetric</w:t>
      </w:r>
      <w:bookmarkEnd w:id="26"/>
      <w:r w:rsidRPr="0016235B">
        <w:rPr>
          <w:rFonts w:ascii="Candara" w:hAnsi="Candara"/>
          <w:b/>
          <w:sz w:val="28"/>
          <w:szCs w:val="28"/>
        </w:rPr>
        <w:t xml:space="preserve">  </w:t>
      </w:r>
    </w:p>
    <w:p w14:paraId="0CC0E6AC" w14:textId="77777777" w:rsidR="003B46F6" w:rsidRPr="0016235B" w:rsidRDefault="003B46F6" w:rsidP="00AC7B3E">
      <w:pPr>
        <w:rPr>
          <w:rFonts w:ascii="Candara" w:hAnsi="Candara" w:cs="Times New Roman"/>
        </w:rPr>
      </w:pPr>
    </w:p>
    <w:p w14:paraId="5F5DFA3F" w14:textId="0D4490E6" w:rsidR="003B46F6" w:rsidRPr="0016235B" w:rsidRDefault="003B46F6" w:rsidP="003B46F6">
      <w:pPr>
        <w:jc w:val="both"/>
        <w:rPr>
          <w:rFonts w:ascii="Candara" w:eastAsia="MS Mincho" w:hAnsi="Candara"/>
          <w:sz w:val="24"/>
          <w:szCs w:val="24"/>
        </w:rPr>
      </w:pPr>
      <w:r w:rsidRPr="0016235B">
        <w:rPr>
          <w:rFonts w:ascii="Candara" w:eastAsia="MS Mincho" w:hAnsi="Candara"/>
          <w:sz w:val="24"/>
          <w:szCs w:val="24"/>
        </w:rPr>
        <w:t>Comprehensive emergency obstetric care (</w:t>
      </w:r>
      <w:proofErr w:type="spellStart"/>
      <w:r w:rsidRPr="0016235B">
        <w:rPr>
          <w:rFonts w:ascii="Candara" w:eastAsia="MS Mincho" w:hAnsi="Candara"/>
          <w:sz w:val="24"/>
          <w:szCs w:val="24"/>
        </w:rPr>
        <w:t>CEmOC</w:t>
      </w:r>
      <w:proofErr w:type="spellEnd"/>
      <w:r w:rsidRPr="0016235B">
        <w:rPr>
          <w:rFonts w:ascii="Candara" w:eastAsia="MS Mincho" w:hAnsi="Candara"/>
          <w:sz w:val="24"/>
          <w:szCs w:val="24"/>
        </w:rPr>
        <w:t>) consist of all 7 services that define basic emergency obstetric care (</w:t>
      </w:r>
      <w:proofErr w:type="spellStart"/>
      <w:r w:rsidRPr="0016235B">
        <w:rPr>
          <w:rFonts w:ascii="Candara" w:eastAsia="MS Mincho" w:hAnsi="Candara"/>
          <w:sz w:val="24"/>
          <w:szCs w:val="24"/>
        </w:rPr>
        <w:t>BEmOC</w:t>
      </w:r>
      <w:proofErr w:type="spellEnd"/>
      <w:r w:rsidRPr="0016235B">
        <w:rPr>
          <w:rFonts w:ascii="Candara" w:eastAsia="MS Mincho" w:hAnsi="Candara"/>
          <w:sz w:val="24"/>
          <w:szCs w:val="24"/>
        </w:rPr>
        <w:t>) and the availability of blood transfusion services and caesarean section.</w:t>
      </w:r>
    </w:p>
    <w:p w14:paraId="03F6EA4A" w14:textId="128DD1BA" w:rsidR="00AC7B3E" w:rsidRPr="0016235B" w:rsidRDefault="00AC7B3E" w:rsidP="003B46F6">
      <w:pPr>
        <w:jc w:val="both"/>
        <w:rPr>
          <w:rFonts w:ascii="Candara" w:eastAsia="MS Mincho" w:hAnsi="Candara"/>
          <w:sz w:val="24"/>
          <w:szCs w:val="24"/>
        </w:rPr>
      </w:pPr>
      <w:r w:rsidRPr="0016235B">
        <w:rPr>
          <w:rFonts w:ascii="Candara" w:eastAsia="MS Mincho" w:hAnsi="Candara"/>
          <w:sz w:val="24"/>
          <w:szCs w:val="24"/>
        </w:rPr>
        <w:t xml:space="preserve">All hospitals are expected to provide </w:t>
      </w:r>
      <w:r w:rsidR="003B46F6" w:rsidRPr="0016235B">
        <w:rPr>
          <w:rFonts w:ascii="Candara" w:eastAsia="MS Mincho" w:hAnsi="Candara"/>
          <w:sz w:val="24"/>
          <w:szCs w:val="24"/>
        </w:rPr>
        <w:t xml:space="preserve">comprehensive </w:t>
      </w:r>
      <w:r w:rsidRPr="0016235B">
        <w:rPr>
          <w:rFonts w:ascii="Candara" w:eastAsia="MS Mincho" w:hAnsi="Candara"/>
          <w:sz w:val="24"/>
          <w:szCs w:val="24"/>
        </w:rPr>
        <w:t>obstetrics care</w:t>
      </w:r>
      <w:r w:rsidR="003B46F6" w:rsidRPr="0016235B">
        <w:rPr>
          <w:rFonts w:ascii="Candara" w:eastAsia="MS Mincho" w:hAnsi="Candara"/>
          <w:sz w:val="24"/>
          <w:szCs w:val="24"/>
        </w:rPr>
        <w:t>. I</w:t>
      </w:r>
      <w:r w:rsidRPr="0016235B">
        <w:rPr>
          <w:rFonts w:ascii="Candara" w:eastAsia="MS Mincho" w:hAnsi="Candara"/>
          <w:sz w:val="24"/>
          <w:szCs w:val="24"/>
        </w:rPr>
        <w:t>n general, the availability of caesarean section and blood transfusion at health facilities were 26% and 20%</w:t>
      </w:r>
      <w:r w:rsidR="003B46F6" w:rsidRPr="0016235B">
        <w:rPr>
          <w:rFonts w:ascii="Candara" w:eastAsia="MS Mincho" w:hAnsi="Candara"/>
          <w:sz w:val="24"/>
          <w:szCs w:val="24"/>
        </w:rPr>
        <w:t>, with only 16% of the facilities offering comprehensive emergency obstetric care.</w:t>
      </w:r>
    </w:p>
    <w:p w14:paraId="3286BBBA" w14:textId="25751877" w:rsidR="00AC7B3E" w:rsidRPr="0016235B" w:rsidRDefault="00AC7B3E" w:rsidP="00AC7B3E">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lastRenderedPageBreak/>
        <w:t>Percentage of facilities that offer comprehensive obstetric care services (N=16</w:t>
      </w:r>
      <w:r w:rsidR="003B46F6"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75DC93CD" w14:textId="77777777" w:rsidR="00AC7B3E" w:rsidRPr="0016235B" w:rsidRDefault="00AC7B3E" w:rsidP="00AC7B3E">
      <w:pPr>
        <w:spacing w:after="0" w:line="240" w:lineRule="auto"/>
        <w:rPr>
          <w:rFonts w:ascii="Candara" w:eastAsia="Times New Roman" w:hAnsi="Candara" w:cs="Times New Roman"/>
          <w:b/>
          <w:bCs/>
          <w:color w:val="0070C0"/>
          <w:sz w:val="28"/>
          <w:szCs w:val="28"/>
          <w:lang w:eastAsia="en-GB"/>
        </w:rPr>
      </w:pPr>
      <w:r w:rsidRPr="0016235B">
        <w:rPr>
          <w:rFonts w:ascii="Candara" w:eastAsia="Times New Roman" w:hAnsi="Candara" w:cs="Times New Roman"/>
          <w:b/>
          <w:bCs/>
          <w:noProof/>
          <w:color w:val="0070C0"/>
          <w:sz w:val="28"/>
          <w:szCs w:val="28"/>
        </w:rPr>
        <w:drawing>
          <wp:inline distT="0" distB="0" distL="0" distR="0" wp14:anchorId="5265AF82" wp14:editId="7E4C5B70">
            <wp:extent cx="5209540" cy="2924175"/>
            <wp:effectExtent l="19050" t="19050" r="10160" b="285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09540" cy="2924175"/>
                    </a:xfrm>
                    <a:prstGeom prst="rect">
                      <a:avLst/>
                    </a:prstGeom>
                    <a:ln w="19050">
                      <a:solidFill>
                        <a:srgbClr val="0070C0"/>
                      </a:solidFill>
                    </a:ln>
                  </pic:spPr>
                </pic:pic>
              </a:graphicData>
            </a:graphic>
          </wp:inline>
        </w:drawing>
      </w:r>
    </w:p>
    <w:p w14:paraId="2A1F1962" w14:textId="77777777" w:rsidR="00AC7B3E" w:rsidRPr="0016235B" w:rsidRDefault="00AC7B3E" w:rsidP="00AC7B3E">
      <w:pPr>
        <w:rPr>
          <w:rFonts w:ascii="Candara" w:hAnsi="Candara"/>
        </w:rPr>
      </w:pPr>
    </w:p>
    <w:p w14:paraId="17FDE0FE" w14:textId="77777777" w:rsidR="00AC7B3E" w:rsidRPr="0016235B" w:rsidRDefault="00AC7B3E" w:rsidP="00AC7B3E">
      <w:pPr>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Percentage of facilities that offer comprehensive obstetric care services by key </w:t>
      </w:r>
      <w:proofErr w:type="spellStart"/>
      <w:r w:rsidRPr="0016235B">
        <w:rPr>
          <w:rFonts w:ascii="Candara" w:eastAsia="Times New Roman" w:hAnsi="Candara" w:cs="Times New Roman"/>
          <w:b/>
          <w:bCs/>
          <w:sz w:val="24"/>
          <w:szCs w:val="24"/>
          <w:lang w:eastAsia="en-GB"/>
        </w:rPr>
        <w:t>stratifiers</w:t>
      </w:r>
      <w:proofErr w:type="spellEnd"/>
    </w:p>
    <w:p w14:paraId="01AD3B48" w14:textId="7A0CBB21" w:rsidR="00AC7B3E" w:rsidRPr="0016235B" w:rsidRDefault="00D957A9" w:rsidP="00AC7B3E">
      <w:pPr>
        <w:rPr>
          <w:rFonts w:ascii="Candara" w:hAnsi="Candara"/>
        </w:rPr>
      </w:pPr>
      <w:r w:rsidRPr="0016235B">
        <w:rPr>
          <w:rFonts w:ascii="Candara" w:hAnsi="Candara"/>
          <w:noProof/>
        </w:rPr>
        <w:drawing>
          <wp:inline distT="0" distB="0" distL="0" distR="0" wp14:anchorId="5573D4FA" wp14:editId="48A725AB">
            <wp:extent cx="5731510" cy="3550722"/>
            <wp:effectExtent l="0" t="0" r="2540" b="12065"/>
            <wp:docPr id="119" name="Chart 1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DC7E5D0" w14:textId="09AD447C" w:rsidR="00AC7B3E" w:rsidRPr="0016235B" w:rsidRDefault="00AC7B3E" w:rsidP="00AC7B3E">
      <w:pPr>
        <w:rPr>
          <w:rFonts w:ascii="Candara" w:hAnsi="Candara"/>
        </w:rPr>
      </w:pPr>
    </w:p>
    <w:tbl>
      <w:tblPr>
        <w:tblStyle w:val="TableGrid"/>
        <w:tblW w:w="9409" w:type="dxa"/>
        <w:tblLook w:val="04A0" w:firstRow="1" w:lastRow="0" w:firstColumn="1" w:lastColumn="0" w:noHBand="0" w:noVBand="1"/>
      </w:tblPr>
      <w:tblGrid>
        <w:gridCol w:w="9409"/>
      </w:tblGrid>
      <w:tr w:rsidR="00ED2E24" w:rsidRPr="0016235B" w14:paraId="26833439" w14:textId="77777777" w:rsidTr="00244BC6">
        <w:trPr>
          <w:trHeight w:val="262"/>
        </w:trPr>
        <w:tc>
          <w:tcPr>
            <w:tcW w:w="9409" w:type="dxa"/>
          </w:tcPr>
          <w:p w14:paraId="677249B9" w14:textId="77777777" w:rsidR="00ED2E24" w:rsidRPr="0016235B" w:rsidRDefault="00ED2E24" w:rsidP="00244BC6">
            <w:pPr>
              <w:rPr>
                <w:rFonts w:ascii="Candara" w:hAnsi="Candara"/>
                <w:b/>
              </w:rPr>
            </w:pPr>
            <w:r w:rsidRPr="0016235B">
              <w:rPr>
                <w:rFonts w:ascii="Candara" w:hAnsi="Candara"/>
                <w:b/>
              </w:rPr>
              <w:t>Key findings</w:t>
            </w:r>
          </w:p>
        </w:tc>
      </w:tr>
      <w:tr w:rsidR="00ED2E24" w:rsidRPr="0016235B" w14:paraId="46E05B7E" w14:textId="77777777" w:rsidTr="00244BC6">
        <w:trPr>
          <w:trHeight w:val="1772"/>
        </w:trPr>
        <w:tc>
          <w:tcPr>
            <w:tcW w:w="9409" w:type="dxa"/>
          </w:tcPr>
          <w:p w14:paraId="12772568" w14:textId="77777777" w:rsidR="00ED2E24" w:rsidRPr="0016235B" w:rsidRDefault="00ED2E24" w:rsidP="005722F2">
            <w:pPr>
              <w:pStyle w:val="ListParagraph"/>
              <w:numPr>
                <w:ilvl w:val="0"/>
                <w:numId w:val="22"/>
              </w:numPr>
              <w:spacing w:after="120" w:line="264" w:lineRule="auto"/>
              <w:jc w:val="both"/>
              <w:rPr>
                <w:rFonts w:ascii="Candara" w:hAnsi="Candara" w:cs="Times New Roman"/>
              </w:rPr>
            </w:pPr>
            <w:r w:rsidRPr="0016235B">
              <w:rPr>
                <w:rFonts w:ascii="Candara" w:hAnsi="Candara" w:cs="Times New Roman"/>
              </w:rPr>
              <w:t xml:space="preserve">Overall, facilities that provide comprehensive obstetric services are 16%  </w:t>
            </w:r>
          </w:p>
          <w:p w14:paraId="7FE2D12E" w14:textId="5B6487F4" w:rsidR="00ED2E24" w:rsidRPr="0016235B" w:rsidRDefault="00ED2E24" w:rsidP="005722F2">
            <w:pPr>
              <w:pStyle w:val="ListParagraph"/>
              <w:numPr>
                <w:ilvl w:val="0"/>
                <w:numId w:val="22"/>
              </w:numPr>
              <w:spacing w:after="120" w:line="264" w:lineRule="auto"/>
              <w:jc w:val="both"/>
              <w:rPr>
                <w:rFonts w:ascii="Candara" w:hAnsi="Candara" w:cs="Times New Roman"/>
              </w:rPr>
            </w:pPr>
            <w:r w:rsidRPr="0016235B">
              <w:rPr>
                <w:rFonts w:ascii="Candara" w:hAnsi="Candara" w:cs="Times New Roman"/>
              </w:rPr>
              <w:t xml:space="preserve">The mean availability of facilities that offer </w:t>
            </w:r>
            <w:proofErr w:type="spellStart"/>
            <w:r w:rsidRPr="0016235B">
              <w:rPr>
                <w:rFonts w:ascii="Candara" w:hAnsi="Candara" w:cs="Times New Roman"/>
              </w:rPr>
              <w:t>BEmOC</w:t>
            </w:r>
            <w:proofErr w:type="spellEnd"/>
            <w:r w:rsidRPr="0016235B">
              <w:rPr>
                <w:rFonts w:ascii="Candara" w:hAnsi="Candara" w:cs="Times New Roman"/>
              </w:rPr>
              <w:t xml:space="preserve"> was 30% </w:t>
            </w:r>
          </w:p>
          <w:p w14:paraId="3B7FE013" w14:textId="77777777" w:rsidR="00ED2E24" w:rsidRPr="0016235B" w:rsidRDefault="00ED2E24" w:rsidP="005722F2">
            <w:pPr>
              <w:pStyle w:val="ListParagraph"/>
              <w:numPr>
                <w:ilvl w:val="0"/>
                <w:numId w:val="22"/>
              </w:numPr>
              <w:spacing w:after="120" w:line="264" w:lineRule="auto"/>
              <w:jc w:val="both"/>
              <w:rPr>
                <w:rFonts w:ascii="Candara" w:hAnsi="Candara" w:cs="Times New Roman"/>
              </w:rPr>
            </w:pPr>
            <w:r w:rsidRPr="0016235B">
              <w:rPr>
                <w:rFonts w:ascii="Candara" w:hAnsi="Candara" w:cs="Times New Roman"/>
              </w:rPr>
              <w:t>Although HCII are not expected to provide delivery services, 2% of them offer delivery services</w:t>
            </w:r>
          </w:p>
          <w:p w14:paraId="04BC4CF1" w14:textId="336D950D" w:rsidR="00ED2E24" w:rsidRPr="0016235B" w:rsidRDefault="00ED2E24" w:rsidP="00C57731">
            <w:pPr>
              <w:pStyle w:val="ListParagraph"/>
              <w:numPr>
                <w:ilvl w:val="0"/>
                <w:numId w:val="22"/>
              </w:numPr>
              <w:spacing w:after="120" w:line="264" w:lineRule="auto"/>
              <w:jc w:val="both"/>
              <w:rPr>
                <w:rFonts w:ascii="Candara" w:hAnsi="Candara" w:cs="Times New Roman"/>
              </w:rPr>
            </w:pPr>
            <w:r w:rsidRPr="0016235B">
              <w:rPr>
                <w:rFonts w:ascii="Candara" w:hAnsi="Candara" w:cs="Times New Roman"/>
              </w:rPr>
              <w:t>There was a marked difference in delivery of service available between urban facilities and rural facilities, 27% and 7% respectively</w:t>
            </w:r>
          </w:p>
        </w:tc>
      </w:tr>
    </w:tbl>
    <w:p w14:paraId="0F48BC4C" w14:textId="149E5EDE" w:rsidR="00AC7B3E" w:rsidRPr="0016235B" w:rsidRDefault="000D3CEC" w:rsidP="005722F2">
      <w:pPr>
        <w:pStyle w:val="Heading2"/>
        <w:numPr>
          <w:ilvl w:val="1"/>
          <w:numId w:val="25"/>
        </w:numPr>
        <w:rPr>
          <w:rFonts w:ascii="Candara" w:hAnsi="Candara"/>
          <w:b/>
          <w:sz w:val="28"/>
          <w:szCs w:val="28"/>
        </w:rPr>
      </w:pPr>
      <w:bookmarkStart w:id="27" w:name="_Toc11494040"/>
      <w:r w:rsidRPr="0016235B">
        <w:rPr>
          <w:rFonts w:ascii="Candara" w:hAnsi="Candara"/>
          <w:b/>
          <w:sz w:val="28"/>
          <w:szCs w:val="28"/>
        </w:rPr>
        <w:lastRenderedPageBreak/>
        <w:t>Caesarian Section</w:t>
      </w:r>
      <w:bookmarkEnd w:id="27"/>
    </w:p>
    <w:p w14:paraId="7B9E119F" w14:textId="6655E58E" w:rsidR="00AC7B3E" w:rsidRPr="0016235B" w:rsidRDefault="00EF1E4F" w:rsidP="001E470D">
      <w:pPr>
        <w:jc w:val="both"/>
        <w:rPr>
          <w:rFonts w:ascii="Candara" w:eastAsia="MS Mincho" w:hAnsi="Candara"/>
          <w:sz w:val="24"/>
          <w:szCs w:val="24"/>
        </w:rPr>
      </w:pPr>
      <w:r w:rsidRPr="0016235B">
        <w:rPr>
          <w:rFonts w:ascii="Candara" w:eastAsia="MS Mincho" w:hAnsi="Candara"/>
          <w:sz w:val="24"/>
          <w:szCs w:val="24"/>
        </w:rPr>
        <w:t>The chart below shows a disaggregation of f</w:t>
      </w:r>
      <w:r w:rsidR="00AC7B3E" w:rsidRPr="0016235B">
        <w:rPr>
          <w:rFonts w:ascii="Candara" w:eastAsia="MS Mincho" w:hAnsi="Candara"/>
          <w:sz w:val="24"/>
          <w:szCs w:val="24"/>
        </w:rPr>
        <w:t>acilities providing caesarean section services</w:t>
      </w:r>
      <w:r w:rsidRPr="0016235B">
        <w:rPr>
          <w:rFonts w:ascii="Candara" w:eastAsia="MS Mincho" w:hAnsi="Candara"/>
          <w:sz w:val="24"/>
          <w:szCs w:val="24"/>
        </w:rPr>
        <w:t xml:space="preserve"> </w:t>
      </w:r>
      <w:r w:rsidR="00FB6BEA" w:rsidRPr="0016235B">
        <w:rPr>
          <w:rFonts w:ascii="Candara" w:eastAsia="MS Mincho" w:hAnsi="Candara"/>
          <w:sz w:val="24"/>
          <w:szCs w:val="24"/>
        </w:rPr>
        <w:t xml:space="preserve">by </w:t>
      </w:r>
      <w:r w:rsidRPr="0016235B">
        <w:rPr>
          <w:rFonts w:ascii="Candara" w:eastAsia="MS Mincho" w:hAnsi="Candara"/>
          <w:sz w:val="24"/>
          <w:szCs w:val="24"/>
        </w:rPr>
        <w:t>facility</w:t>
      </w:r>
      <w:r w:rsidR="00AC7B3E" w:rsidRPr="0016235B">
        <w:rPr>
          <w:rFonts w:ascii="Candara" w:eastAsia="MS Mincho" w:hAnsi="Candara"/>
          <w:sz w:val="24"/>
          <w:szCs w:val="24"/>
        </w:rPr>
        <w:t xml:space="preserve"> </w:t>
      </w:r>
      <w:r w:rsidRPr="0016235B">
        <w:rPr>
          <w:rFonts w:ascii="Candara" w:eastAsia="MS Mincho" w:hAnsi="Candara"/>
          <w:sz w:val="24"/>
          <w:szCs w:val="24"/>
        </w:rPr>
        <w:t>l</w:t>
      </w:r>
      <w:r w:rsidR="00AC7B3E" w:rsidRPr="0016235B">
        <w:rPr>
          <w:rFonts w:ascii="Candara" w:eastAsia="MS Mincho" w:hAnsi="Candara"/>
          <w:sz w:val="24"/>
          <w:szCs w:val="24"/>
        </w:rPr>
        <w:t>evel, ownership, location and region.</w:t>
      </w:r>
    </w:p>
    <w:p w14:paraId="5ED4DDC1" w14:textId="6133CB34" w:rsidR="00AC7B3E" w:rsidRPr="0016235B" w:rsidRDefault="00AC7B3E" w:rsidP="00AC7B3E">
      <w:pPr>
        <w:spacing w:after="0" w:line="240" w:lineRule="auto"/>
        <w:rPr>
          <w:rFonts w:ascii="Candara" w:eastAsia="Times New Roman" w:hAnsi="Candara" w:cs="Times New Roman"/>
          <w:b/>
          <w:bCs/>
          <w:lang w:eastAsia="en-GB"/>
        </w:rPr>
      </w:pPr>
      <w:r w:rsidRPr="0016235B">
        <w:rPr>
          <w:rFonts w:ascii="Candara" w:eastAsia="Times New Roman" w:hAnsi="Candara" w:cs="Times New Roman"/>
          <w:b/>
          <w:bCs/>
          <w:lang w:eastAsia="en-GB"/>
        </w:rPr>
        <w:t xml:space="preserve">Percentage of facilities offering Caesarean section services by key </w:t>
      </w:r>
      <w:proofErr w:type="spellStart"/>
      <w:r w:rsidRPr="0016235B">
        <w:rPr>
          <w:rFonts w:ascii="Candara" w:eastAsia="Times New Roman" w:hAnsi="Candara" w:cs="Times New Roman"/>
          <w:b/>
          <w:bCs/>
          <w:lang w:eastAsia="en-GB"/>
        </w:rPr>
        <w:t>stratifiers</w:t>
      </w:r>
      <w:proofErr w:type="spellEnd"/>
      <w:r w:rsidRPr="0016235B">
        <w:rPr>
          <w:rFonts w:ascii="Candara" w:eastAsia="Times New Roman" w:hAnsi="Candara" w:cs="Times New Roman"/>
          <w:b/>
          <w:bCs/>
          <w:lang w:eastAsia="en-GB"/>
        </w:rPr>
        <w:t xml:space="preserve"> (N=16</w:t>
      </w:r>
      <w:r w:rsidR="00EF1E4F" w:rsidRPr="0016235B">
        <w:rPr>
          <w:rFonts w:ascii="Candara" w:eastAsia="Times New Roman" w:hAnsi="Candara" w:cs="Times New Roman"/>
          <w:b/>
          <w:bCs/>
          <w:lang w:eastAsia="en-GB"/>
        </w:rPr>
        <w:t>6</w:t>
      </w:r>
      <w:r w:rsidRPr="0016235B">
        <w:rPr>
          <w:rFonts w:ascii="Candara" w:eastAsia="Times New Roman" w:hAnsi="Candara" w:cs="Times New Roman"/>
          <w:b/>
          <w:bCs/>
          <w:lang w:eastAsia="en-GB"/>
        </w:rPr>
        <w:t>)</w:t>
      </w:r>
    </w:p>
    <w:p w14:paraId="274C10C1" w14:textId="530885A8" w:rsidR="00AC7B3E" w:rsidRPr="0016235B" w:rsidRDefault="00EF1E4F" w:rsidP="00AC7B3E">
      <w:pPr>
        <w:rPr>
          <w:rFonts w:ascii="Candara" w:hAnsi="Candara"/>
          <w:b/>
        </w:rPr>
      </w:pPr>
      <w:r w:rsidRPr="0016235B">
        <w:rPr>
          <w:rFonts w:ascii="Candara" w:hAnsi="Candara"/>
          <w:noProof/>
        </w:rPr>
        <w:drawing>
          <wp:inline distT="0" distB="0" distL="0" distR="0" wp14:anchorId="08FC5DF1" wp14:editId="4FA42CD9">
            <wp:extent cx="5731510" cy="3805555"/>
            <wp:effectExtent l="0" t="0" r="2540" b="4445"/>
            <wp:docPr id="120" name="Chart 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A165E3D" w14:textId="77777777" w:rsidR="00EF1E4F" w:rsidRPr="0016235B" w:rsidRDefault="00EF1E4F" w:rsidP="00AC7B3E">
      <w:pPr>
        <w:spacing w:after="0" w:line="240" w:lineRule="auto"/>
        <w:rPr>
          <w:rFonts w:ascii="Candara" w:eastAsia="Times New Roman" w:hAnsi="Candara" w:cs="Times New Roman"/>
          <w:b/>
          <w:bCs/>
          <w:lang w:eastAsia="en-GB"/>
        </w:rPr>
      </w:pPr>
    </w:p>
    <w:p w14:paraId="2C2B7536" w14:textId="77777777" w:rsidR="00AC7B3E" w:rsidRPr="0016235B" w:rsidRDefault="00AC7B3E" w:rsidP="00AC7B3E">
      <w:pPr>
        <w:spacing w:after="0" w:line="240" w:lineRule="auto"/>
        <w:rPr>
          <w:rFonts w:ascii="Candara" w:eastAsia="Times New Roman" w:hAnsi="Candara" w:cs="Times New Roman"/>
          <w:b/>
          <w:bCs/>
          <w:lang w:eastAsia="en-GB"/>
        </w:rPr>
      </w:pPr>
      <w:r w:rsidRPr="0016235B">
        <w:rPr>
          <w:rFonts w:ascii="Candara" w:eastAsia="Times New Roman" w:hAnsi="Candara" w:cs="Times New Roman"/>
          <w:b/>
          <w:bCs/>
          <w:lang w:eastAsia="en-GB"/>
        </w:rPr>
        <w:t>Percentage of facilities with guidelines and trained staff among facilities that provide caesarean section (N=43)</w:t>
      </w:r>
    </w:p>
    <w:p w14:paraId="1A3C5BD5" w14:textId="77777777" w:rsidR="00AC7B3E" w:rsidRPr="0016235B" w:rsidRDefault="00AC7B3E" w:rsidP="00AC7B3E">
      <w:pPr>
        <w:rPr>
          <w:rFonts w:ascii="Candara" w:hAnsi="Candara"/>
          <w:b/>
        </w:rPr>
      </w:pPr>
      <w:r w:rsidRPr="0016235B">
        <w:rPr>
          <w:rFonts w:ascii="Candara" w:hAnsi="Candara"/>
          <w:b/>
          <w:noProof/>
        </w:rPr>
        <w:drawing>
          <wp:inline distT="0" distB="0" distL="0" distR="0" wp14:anchorId="2CE36045" wp14:editId="69EAE35C">
            <wp:extent cx="5650173" cy="3490003"/>
            <wp:effectExtent l="19050" t="19050" r="27305" b="152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50800" cy="3490390"/>
                    </a:xfrm>
                    <a:prstGeom prst="rect">
                      <a:avLst/>
                    </a:prstGeom>
                    <a:ln w="15875">
                      <a:solidFill>
                        <a:srgbClr val="0070C0"/>
                      </a:solidFill>
                    </a:ln>
                  </pic:spPr>
                </pic:pic>
              </a:graphicData>
            </a:graphic>
          </wp:inline>
        </w:drawing>
      </w:r>
    </w:p>
    <w:p w14:paraId="0DFBD5E3" w14:textId="77777777" w:rsidR="00C57731" w:rsidRPr="0016235B" w:rsidRDefault="00C57731" w:rsidP="00AC7B3E">
      <w:pPr>
        <w:rPr>
          <w:rFonts w:ascii="Candara" w:hAnsi="Candara"/>
          <w:b/>
        </w:rPr>
      </w:pPr>
    </w:p>
    <w:tbl>
      <w:tblPr>
        <w:tblStyle w:val="TableGrid"/>
        <w:tblW w:w="9535" w:type="dxa"/>
        <w:tblLook w:val="04A0" w:firstRow="1" w:lastRow="0" w:firstColumn="1" w:lastColumn="0" w:noHBand="0" w:noVBand="1"/>
      </w:tblPr>
      <w:tblGrid>
        <w:gridCol w:w="9535"/>
      </w:tblGrid>
      <w:tr w:rsidR="00ED2E24" w:rsidRPr="0016235B" w14:paraId="4FCA2FF6" w14:textId="77777777" w:rsidTr="00244BC6">
        <w:trPr>
          <w:trHeight w:val="262"/>
        </w:trPr>
        <w:tc>
          <w:tcPr>
            <w:tcW w:w="9535" w:type="dxa"/>
          </w:tcPr>
          <w:p w14:paraId="721CA3F0" w14:textId="77777777" w:rsidR="00ED2E24" w:rsidRPr="0016235B" w:rsidRDefault="00ED2E24" w:rsidP="00244BC6">
            <w:pPr>
              <w:rPr>
                <w:rFonts w:ascii="Candara" w:hAnsi="Candara"/>
                <w:b/>
              </w:rPr>
            </w:pPr>
            <w:r w:rsidRPr="0016235B">
              <w:rPr>
                <w:rFonts w:ascii="Candara" w:hAnsi="Candara"/>
                <w:b/>
              </w:rPr>
              <w:lastRenderedPageBreak/>
              <w:t>Key findings</w:t>
            </w:r>
          </w:p>
        </w:tc>
      </w:tr>
      <w:tr w:rsidR="00ED2E24" w:rsidRPr="0016235B" w14:paraId="6FB92B11" w14:textId="77777777" w:rsidTr="00244BC6">
        <w:trPr>
          <w:trHeight w:val="4112"/>
        </w:trPr>
        <w:tc>
          <w:tcPr>
            <w:tcW w:w="9535" w:type="dxa"/>
          </w:tcPr>
          <w:p w14:paraId="1A9EE149" w14:textId="77777777" w:rsidR="00ED2E24" w:rsidRPr="0016235B" w:rsidRDefault="00ED2E24" w:rsidP="005722F2">
            <w:pPr>
              <w:pStyle w:val="ListParagraph"/>
              <w:numPr>
                <w:ilvl w:val="0"/>
                <w:numId w:val="23"/>
              </w:numPr>
              <w:spacing w:after="120" w:line="264" w:lineRule="auto"/>
              <w:jc w:val="both"/>
              <w:rPr>
                <w:rFonts w:ascii="Candara" w:hAnsi="Candara" w:cs="Times New Roman"/>
              </w:rPr>
            </w:pPr>
            <w:r w:rsidRPr="0016235B">
              <w:rPr>
                <w:rFonts w:ascii="Candara" w:hAnsi="Candara" w:cs="Times New Roman"/>
              </w:rPr>
              <w:t>Regional and General hospitals are the leading providers of Caesarean section at 93% and 88% respectively</w:t>
            </w:r>
          </w:p>
          <w:p w14:paraId="5C357D18" w14:textId="45BE8D53" w:rsidR="00ED2E24" w:rsidRPr="0016235B" w:rsidRDefault="00ED2E24" w:rsidP="005722F2">
            <w:pPr>
              <w:pStyle w:val="ListParagraph"/>
              <w:numPr>
                <w:ilvl w:val="0"/>
                <w:numId w:val="23"/>
              </w:numPr>
              <w:spacing w:after="120" w:line="264" w:lineRule="auto"/>
              <w:jc w:val="both"/>
              <w:rPr>
                <w:rFonts w:ascii="Candara" w:hAnsi="Candara" w:cs="Times New Roman"/>
              </w:rPr>
            </w:pPr>
            <w:r w:rsidRPr="0016235B">
              <w:rPr>
                <w:rFonts w:ascii="Candara" w:hAnsi="Candara" w:cs="Times New Roman"/>
              </w:rPr>
              <w:t xml:space="preserve">Although HC </w:t>
            </w:r>
            <w:r w:rsidR="003840FF" w:rsidRPr="0016235B">
              <w:rPr>
                <w:rFonts w:ascii="Candara" w:hAnsi="Candara" w:cs="Times New Roman"/>
              </w:rPr>
              <w:t>II and</w:t>
            </w:r>
            <w:r w:rsidRPr="0016235B">
              <w:rPr>
                <w:rFonts w:ascii="Candara" w:hAnsi="Candara" w:cs="Times New Roman"/>
              </w:rPr>
              <w:t xml:space="preserve"> III are not supposed to provide caesarean </w:t>
            </w:r>
            <w:r w:rsidR="003840FF" w:rsidRPr="0016235B">
              <w:rPr>
                <w:rFonts w:ascii="Candara" w:hAnsi="Candara" w:cs="Times New Roman"/>
              </w:rPr>
              <w:t>services, 20</w:t>
            </w:r>
            <w:r w:rsidRPr="0016235B">
              <w:rPr>
                <w:rFonts w:ascii="Candara" w:hAnsi="Candara" w:cs="Times New Roman"/>
              </w:rPr>
              <w:t>% of HC II and 22% of HC III provide the service</w:t>
            </w:r>
          </w:p>
          <w:p w14:paraId="0B0CD7D1" w14:textId="77777777" w:rsidR="00ED2E24" w:rsidRPr="0016235B" w:rsidRDefault="00ED2E24" w:rsidP="005722F2">
            <w:pPr>
              <w:pStyle w:val="ListParagraph"/>
              <w:numPr>
                <w:ilvl w:val="0"/>
                <w:numId w:val="23"/>
              </w:numPr>
              <w:spacing w:after="120" w:line="264" w:lineRule="auto"/>
              <w:jc w:val="both"/>
              <w:rPr>
                <w:rFonts w:ascii="Candara" w:hAnsi="Candara" w:cs="Times New Roman"/>
              </w:rPr>
            </w:pPr>
            <w:r w:rsidRPr="0016235B">
              <w:rPr>
                <w:rFonts w:ascii="Candara" w:hAnsi="Candara" w:cs="Times New Roman"/>
              </w:rPr>
              <w:t>Private health facilities are likely to offer caesarean health services by 32% than public facilities 20%</w:t>
            </w:r>
          </w:p>
          <w:p w14:paraId="06C01517" w14:textId="77777777" w:rsidR="00ED2E24" w:rsidRPr="0016235B" w:rsidRDefault="00ED2E24" w:rsidP="005722F2">
            <w:pPr>
              <w:pStyle w:val="ListParagraph"/>
              <w:numPr>
                <w:ilvl w:val="0"/>
                <w:numId w:val="23"/>
              </w:numPr>
              <w:spacing w:after="120" w:line="264" w:lineRule="auto"/>
              <w:jc w:val="both"/>
              <w:rPr>
                <w:rFonts w:ascii="Candara" w:hAnsi="Candara" w:cs="Times New Roman"/>
              </w:rPr>
            </w:pPr>
            <w:r w:rsidRPr="0016235B">
              <w:rPr>
                <w:rFonts w:ascii="Candara" w:hAnsi="Candara" w:cs="Times New Roman"/>
              </w:rPr>
              <w:t xml:space="preserve">By location, there was marked difference in health facilities providing caesarean section services, with 42% in urban areas against 17% in rural areas </w:t>
            </w:r>
          </w:p>
          <w:p w14:paraId="11F5D49F" w14:textId="77777777" w:rsidR="00ED2E24" w:rsidRPr="0016235B" w:rsidRDefault="00ED2E24" w:rsidP="005722F2">
            <w:pPr>
              <w:pStyle w:val="ListParagraph"/>
              <w:numPr>
                <w:ilvl w:val="0"/>
                <w:numId w:val="23"/>
              </w:numPr>
              <w:spacing w:after="120" w:line="264" w:lineRule="auto"/>
              <w:jc w:val="both"/>
              <w:rPr>
                <w:rFonts w:ascii="Candara" w:hAnsi="Candara" w:cs="Times New Roman"/>
              </w:rPr>
            </w:pPr>
            <w:r w:rsidRPr="0016235B">
              <w:rPr>
                <w:rFonts w:ascii="Candara" w:hAnsi="Candara" w:cs="Times New Roman"/>
              </w:rPr>
              <w:t>Central 1 has the highest caesarean section service, provided in 48% of the facilities and least in Karamoja at 1% of the facilities</w:t>
            </w:r>
          </w:p>
          <w:p w14:paraId="1EEA9342" w14:textId="55281BE3" w:rsidR="00ED2E24" w:rsidRPr="0016235B" w:rsidRDefault="00ED2E24" w:rsidP="005722F2">
            <w:pPr>
              <w:pStyle w:val="ListParagraph"/>
              <w:numPr>
                <w:ilvl w:val="0"/>
                <w:numId w:val="23"/>
              </w:numPr>
              <w:spacing w:after="120" w:line="264" w:lineRule="auto"/>
              <w:jc w:val="both"/>
              <w:rPr>
                <w:rFonts w:ascii="Candara" w:hAnsi="Candara" w:cs="Times New Roman"/>
              </w:rPr>
            </w:pPr>
            <w:r w:rsidRPr="0016235B">
              <w:rPr>
                <w:rFonts w:ascii="Candara" w:hAnsi="Candara" w:cs="Times New Roman"/>
              </w:rPr>
              <w:t>Among the 26% of the facilities that provide caesarean section services, 81% have a trained caesarean doctor and trained</w:t>
            </w:r>
            <w:r w:rsidRPr="0016235B">
              <w:rPr>
                <w:rFonts w:ascii="Candara" w:hAnsi="Candara"/>
              </w:rPr>
              <w:t xml:space="preserve"> </w:t>
            </w:r>
            <w:r w:rsidR="003840FF" w:rsidRPr="0016235B">
              <w:rPr>
                <w:rFonts w:ascii="Candara" w:hAnsi="Candara" w:cs="Times New Roman"/>
              </w:rPr>
              <w:t>anesthetist</w:t>
            </w:r>
            <w:r w:rsidRPr="0016235B">
              <w:rPr>
                <w:rFonts w:ascii="Candara" w:hAnsi="Candara" w:cs="Times New Roman"/>
              </w:rPr>
              <w:t xml:space="preserve"> available 24hrs a day, 66% have national guidelines for obstetric emergency and 57% have </w:t>
            </w:r>
            <w:r w:rsidR="003840FF" w:rsidRPr="0016235B">
              <w:rPr>
                <w:rFonts w:ascii="Candara" w:hAnsi="Candara" w:cs="Times New Roman"/>
              </w:rPr>
              <w:t>staff who</w:t>
            </w:r>
            <w:r w:rsidRPr="0016235B">
              <w:rPr>
                <w:rFonts w:ascii="Candara" w:hAnsi="Candara" w:cs="Times New Roman"/>
              </w:rPr>
              <w:t xml:space="preserve"> had training in comprehensive obstetric emergency</w:t>
            </w:r>
          </w:p>
          <w:p w14:paraId="282006FF" w14:textId="77777777" w:rsidR="00ED2E24" w:rsidRPr="0016235B" w:rsidRDefault="00ED2E24" w:rsidP="00244BC6">
            <w:pPr>
              <w:pStyle w:val="ListParagraph"/>
              <w:jc w:val="both"/>
              <w:rPr>
                <w:rFonts w:ascii="Candara" w:hAnsi="Candara"/>
              </w:rPr>
            </w:pPr>
          </w:p>
        </w:tc>
      </w:tr>
    </w:tbl>
    <w:p w14:paraId="1CA072ED" w14:textId="77777777" w:rsidR="00AC7B3E" w:rsidRPr="0016235B" w:rsidRDefault="00AC7B3E" w:rsidP="00AC7B3E">
      <w:pPr>
        <w:tabs>
          <w:tab w:val="left" w:pos="8400"/>
        </w:tabs>
        <w:rPr>
          <w:rFonts w:ascii="Candara" w:hAnsi="Candara"/>
        </w:rPr>
      </w:pPr>
    </w:p>
    <w:p w14:paraId="571E7ED6" w14:textId="77777777" w:rsidR="000D3CEC" w:rsidRPr="0016235B" w:rsidRDefault="000D3CEC">
      <w:pPr>
        <w:rPr>
          <w:rFonts w:ascii="Candara" w:hAnsi="Candara"/>
        </w:rPr>
      </w:pPr>
    </w:p>
    <w:p w14:paraId="357B29C2" w14:textId="77777777" w:rsidR="005A1B61" w:rsidRPr="0016235B" w:rsidRDefault="005A1B61" w:rsidP="005722F2">
      <w:pPr>
        <w:pStyle w:val="Heading2"/>
        <w:numPr>
          <w:ilvl w:val="1"/>
          <w:numId w:val="25"/>
        </w:numPr>
        <w:rPr>
          <w:rFonts w:ascii="Candara" w:hAnsi="Candara"/>
          <w:b/>
          <w:sz w:val="28"/>
          <w:szCs w:val="28"/>
        </w:rPr>
      </w:pPr>
      <w:bookmarkStart w:id="28" w:name="_Toc11494041"/>
      <w:r w:rsidRPr="0016235B">
        <w:rPr>
          <w:rFonts w:ascii="Candara" w:hAnsi="Candara"/>
          <w:b/>
          <w:sz w:val="28"/>
          <w:szCs w:val="28"/>
        </w:rPr>
        <w:t>Essential medicines</w:t>
      </w:r>
      <w:bookmarkEnd w:id="28"/>
      <w:r w:rsidRPr="0016235B">
        <w:rPr>
          <w:rFonts w:ascii="Candara" w:hAnsi="Candara"/>
          <w:b/>
          <w:sz w:val="28"/>
          <w:szCs w:val="28"/>
        </w:rPr>
        <w:t xml:space="preserve"> </w:t>
      </w:r>
    </w:p>
    <w:p w14:paraId="50FDC0C1" w14:textId="53C49278" w:rsidR="005A1B61" w:rsidRPr="00DD6B17" w:rsidRDefault="00FC645E" w:rsidP="005A1B61">
      <w:pPr>
        <w:jc w:val="both"/>
        <w:rPr>
          <w:rFonts w:ascii="Candara" w:hAnsi="Candara"/>
          <w:bCs/>
          <w:sz w:val="24"/>
          <w:szCs w:val="24"/>
        </w:rPr>
      </w:pPr>
      <w:r w:rsidRPr="00DD6B17">
        <w:rPr>
          <w:rFonts w:ascii="Candara" w:hAnsi="Candara"/>
          <w:bCs/>
          <w:sz w:val="24"/>
          <w:szCs w:val="24"/>
        </w:rPr>
        <w:t xml:space="preserve">Essential Medicines are those medicines that satisfy the health care needs of </w:t>
      </w:r>
      <w:proofErr w:type="gramStart"/>
      <w:r w:rsidRPr="00DD6B17">
        <w:rPr>
          <w:rFonts w:ascii="Candara" w:hAnsi="Candara"/>
          <w:bCs/>
          <w:sz w:val="24"/>
          <w:szCs w:val="24"/>
        </w:rPr>
        <w:t>the majority of</w:t>
      </w:r>
      <w:proofErr w:type="gramEnd"/>
      <w:r w:rsidRPr="00DD6B17">
        <w:rPr>
          <w:rFonts w:ascii="Candara" w:hAnsi="Candara"/>
          <w:bCs/>
          <w:sz w:val="24"/>
          <w:szCs w:val="24"/>
        </w:rPr>
        <w:t xml:space="preserve"> the population at a cost that is affordable to them and their community. Essential medicines are</w:t>
      </w:r>
      <w:r w:rsidR="005A1B61" w:rsidRPr="00DD6B17">
        <w:rPr>
          <w:rFonts w:ascii="Candara" w:eastAsia="MS Mincho" w:hAnsi="Candara"/>
          <w:sz w:val="24"/>
          <w:szCs w:val="24"/>
        </w:rPr>
        <w:t xml:space="preserve"> selected with due regards to disease prevalence, evidence of efficacy, safety and comparative cost effectiveness. They </w:t>
      </w:r>
      <w:r w:rsidRPr="00DD6B17">
        <w:rPr>
          <w:rFonts w:ascii="Candara" w:eastAsia="MS Mincho" w:hAnsi="Candara"/>
          <w:sz w:val="24"/>
          <w:szCs w:val="24"/>
        </w:rPr>
        <w:t>are always expected to be available within the context of functioning health systems in</w:t>
      </w:r>
      <w:r w:rsidR="005A1B61" w:rsidRPr="00DD6B17">
        <w:rPr>
          <w:rFonts w:ascii="Candara" w:eastAsia="MS Mincho" w:hAnsi="Candara"/>
          <w:sz w:val="24"/>
          <w:szCs w:val="24"/>
        </w:rPr>
        <w:t xml:space="preserve"> adequate amounts, in the appropriate dosage forms, with assured quality and at a price the individual and community can afford.</w:t>
      </w:r>
    </w:p>
    <w:p w14:paraId="61B1ADEF" w14:textId="7C0E7765" w:rsidR="00E72D81" w:rsidRPr="0016235B" w:rsidRDefault="00E72D81" w:rsidP="005A1B61">
      <w:pPr>
        <w:jc w:val="both"/>
        <w:rPr>
          <w:rFonts w:ascii="Candara" w:eastAsia="MS Mincho" w:hAnsi="Candara"/>
          <w:sz w:val="24"/>
          <w:szCs w:val="24"/>
        </w:rPr>
      </w:pPr>
      <w:r w:rsidRPr="0016235B">
        <w:rPr>
          <w:rFonts w:ascii="Candara" w:eastAsia="MS Mincho" w:hAnsi="Candara"/>
          <w:sz w:val="24"/>
          <w:szCs w:val="24"/>
        </w:rPr>
        <w:t xml:space="preserve"> Assessment of availability of essential medicines in the survey was based on the presence of 25 tracer medicines that </w:t>
      </w:r>
      <w:r w:rsidR="00DD6B17" w:rsidRPr="0016235B">
        <w:rPr>
          <w:rFonts w:ascii="Candara" w:eastAsia="MS Mincho" w:hAnsi="Candara"/>
          <w:sz w:val="24"/>
          <w:szCs w:val="24"/>
        </w:rPr>
        <w:t>were</w:t>
      </w:r>
      <w:r w:rsidRPr="0016235B">
        <w:rPr>
          <w:rFonts w:ascii="Candara" w:eastAsia="MS Mincho" w:hAnsi="Candara"/>
          <w:sz w:val="24"/>
          <w:szCs w:val="24"/>
        </w:rPr>
        <w:t xml:space="preserve"> particularly important and </w:t>
      </w:r>
      <w:r w:rsidR="00DD6B17">
        <w:rPr>
          <w:rFonts w:ascii="Candara" w:eastAsia="MS Mincho" w:hAnsi="Candara"/>
          <w:sz w:val="24"/>
          <w:szCs w:val="24"/>
        </w:rPr>
        <w:t xml:space="preserve">therefore </w:t>
      </w:r>
      <w:r w:rsidRPr="0016235B">
        <w:rPr>
          <w:rFonts w:ascii="Candara" w:eastAsia="MS Mincho" w:hAnsi="Candara"/>
          <w:sz w:val="24"/>
          <w:szCs w:val="24"/>
        </w:rPr>
        <w:t xml:space="preserve">were inquired about. </w:t>
      </w:r>
    </w:p>
    <w:p w14:paraId="31D89EAE" w14:textId="052D1891" w:rsidR="005A1B61" w:rsidRPr="0016235B" w:rsidRDefault="00DD6B17" w:rsidP="005A1B61">
      <w:pPr>
        <w:jc w:val="both"/>
        <w:rPr>
          <w:rFonts w:ascii="Candara" w:eastAsia="MS Mincho" w:hAnsi="Candara"/>
          <w:sz w:val="24"/>
          <w:szCs w:val="24"/>
        </w:rPr>
      </w:pPr>
      <w:r>
        <w:rPr>
          <w:rFonts w:ascii="Candara" w:eastAsia="MS Mincho" w:hAnsi="Candara"/>
          <w:sz w:val="24"/>
          <w:szCs w:val="24"/>
        </w:rPr>
        <w:t>The t</w:t>
      </w:r>
      <w:r w:rsidR="003840FF" w:rsidRPr="0016235B">
        <w:rPr>
          <w:rFonts w:ascii="Candara" w:eastAsia="MS Mincho" w:hAnsi="Candara"/>
          <w:sz w:val="24"/>
          <w:szCs w:val="24"/>
        </w:rPr>
        <w:t>wenty-five</w:t>
      </w:r>
      <w:r w:rsidR="005A1B61" w:rsidRPr="0016235B">
        <w:rPr>
          <w:rFonts w:ascii="Candara" w:eastAsia="MS Mincho" w:hAnsi="Candara"/>
          <w:sz w:val="24"/>
          <w:szCs w:val="24"/>
        </w:rPr>
        <w:t xml:space="preserve"> essential medicines assessed includ</w:t>
      </w:r>
      <w:r>
        <w:rPr>
          <w:rFonts w:ascii="Candara" w:eastAsia="MS Mincho" w:hAnsi="Candara"/>
          <w:sz w:val="24"/>
          <w:szCs w:val="24"/>
        </w:rPr>
        <w:t>ed:</w:t>
      </w:r>
      <w:r w:rsidR="005A1B61" w:rsidRPr="0016235B">
        <w:rPr>
          <w:rFonts w:ascii="Candara" w:eastAsia="MS Mincho" w:hAnsi="Candara"/>
          <w:sz w:val="24"/>
          <w:szCs w:val="24"/>
        </w:rPr>
        <w:t xml:space="preserve"> Antibiotics, </w:t>
      </w:r>
      <w:r w:rsidR="00B8607B" w:rsidRPr="0016235B">
        <w:rPr>
          <w:rFonts w:ascii="Candara" w:eastAsia="MS Mincho" w:hAnsi="Candara"/>
          <w:sz w:val="24"/>
          <w:szCs w:val="24"/>
        </w:rPr>
        <w:t>Non-communicable</w:t>
      </w:r>
      <w:r w:rsidR="005A1B61" w:rsidRPr="0016235B">
        <w:rPr>
          <w:rFonts w:ascii="Candara" w:eastAsia="MS Mincho" w:hAnsi="Candara"/>
          <w:sz w:val="24"/>
          <w:szCs w:val="24"/>
        </w:rPr>
        <w:t xml:space="preserve"> diseases</w:t>
      </w:r>
      <w:r>
        <w:rPr>
          <w:rFonts w:ascii="Candara" w:eastAsia="MS Mincho" w:hAnsi="Candara"/>
          <w:sz w:val="24"/>
          <w:szCs w:val="24"/>
        </w:rPr>
        <w:t>’</w:t>
      </w:r>
      <w:r w:rsidR="005A1B61" w:rsidRPr="0016235B">
        <w:rPr>
          <w:rFonts w:ascii="Candara" w:eastAsia="MS Mincho" w:hAnsi="Candara"/>
          <w:sz w:val="24"/>
          <w:szCs w:val="24"/>
        </w:rPr>
        <w:t xml:space="preserve"> medic</w:t>
      </w:r>
      <w:r>
        <w:rPr>
          <w:rFonts w:ascii="Candara" w:eastAsia="MS Mincho" w:hAnsi="Candara"/>
          <w:sz w:val="24"/>
          <w:szCs w:val="24"/>
        </w:rPr>
        <w:t>ations</w:t>
      </w:r>
      <w:r w:rsidR="005A1B61" w:rsidRPr="0016235B">
        <w:rPr>
          <w:rFonts w:ascii="Candara" w:eastAsia="MS Mincho" w:hAnsi="Candara"/>
          <w:sz w:val="24"/>
          <w:szCs w:val="24"/>
        </w:rPr>
        <w:t>, emergenc</w:t>
      </w:r>
      <w:r>
        <w:rPr>
          <w:rFonts w:ascii="Candara" w:eastAsia="MS Mincho" w:hAnsi="Candara"/>
          <w:sz w:val="24"/>
          <w:szCs w:val="24"/>
        </w:rPr>
        <w:t>y</w:t>
      </w:r>
      <w:r w:rsidR="005A1B61" w:rsidRPr="0016235B">
        <w:rPr>
          <w:rFonts w:ascii="Candara" w:eastAsia="MS Mincho" w:hAnsi="Candara"/>
          <w:sz w:val="24"/>
          <w:szCs w:val="24"/>
        </w:rPr>
        <w:t xml:space="preserve"> pain killers and others.</w:t>
      </w:r>
    </w:p>
    <w:p w14:paraId="498406C5" w14:textId="77777777" w:rsidR="005E3175" w:rsidRPr="0016235B" w:rsidRDefault="005E3175" w:rsidP="005A1B61">
      <w:pPr>
        <w:jc w:val="both"/>
        <w:rPr>
          <w:rFonts w:ascii="Candara" w:eastAsia="MS Mincho" w:hAnsi="Candara"/>
          <w:sz w:val="24"/>
          <w:szCs w:val="24"/>
        </w:rPr>
      </w:pPr>
    </w:p>
    <w:p w14:paraId="5B503160" w14:textId="77777777" w:rsidR="00ED2E24" w:rsidRPr="0016235B" w:rsidRDefault="00ED2E24" w:rsidP="005A1B61">
      <w:pPr>
        <w:jc w:val="both"/>
        <w:rPr>
          <w:rFonts w:ascii="Candara" w:eastAsia="MS Mincho" w:hAnsi="Candara"/>
          <w:sz w:val="24"/>
          <w:szCs w:val="24"/>
        </w:rPr>
      </w:pPr>
    </w:p>
    <w:p w14:paraId="690491E6" w14:textId="77777777" w:rsidR="005E3175" w:rsidRPr="0016235B" w:rsidRDefault="005E3175" w:rsidP="005A1B61">
      <w:pPr>
        <w:jc w:val="both"/>
        <w:rPr>
          <w:rFonts w:ascii="Candara" w:eastAsia="MS Mincho" w:hAnsi="Candara"/>
          <w:sz w:val="24"/>
          <w:szCs w:val="24"/>
        </w:rPr>
      </w:pPr>
    </w:p>
    <w:p w14:paraId="6F5E18B1" w14:textId="77777777" w:rsidR="005E3175" w:rsidRPr="0016235B" w:rsidRDefault="005E3175" w:rsidP="005A1B61">
      <w:pPr>
        <w:jc w:val="both"/>
        <w:rPr>
          <w:rFonts w:ascii="Candara" w:eastAsia="MS Mincho" w:hAnsi="Candara"/>
          <w:sz w:val="24"/>
          <w:szCs w:val="24"/>
        </w:rPr>
      </w:pPr>
    </w:p>
    <w:p w14:paraId="07E62CF9" w14:textId="77777777" w:rsidR="005E3175" w:rsidRPr="0016235B" w:rsidRDefault="005E3175" w:rsidP="005A1B61">
      <w:pPr>
        <w:jc w:val="both"/>
        <w:rPr>
          <w:rFonts w:ascii="Candara" w:eastAsia="MS Mincho" w:hAnsi="Candara"/>
          <w:sz w:val="24"/>
          <w:szCs w:val="24"/>
        </w:rPr>
      </w:pPr>
    </w:p>
    <w:p w14:paraId="3E8AAD7D" w14:textId="77777777" w:rsidR="00C57731" w:rsidRPr="0016235B" w:rsidRDefault="00C57731">
      <w:pPr>
        <w:rPr>
          <w:rFonts w:ascii="Candara" w:hAnsi="Candara"/>
          <w:b/>
          <w:sz w:val="20"/>
          <w:szCs w:val="20"/>
        </w:rPr>
      </w:pPr>
      <w:r w:rsidRPr="0016235B">
        <w:rPr>
          <w:rFonts w:ascii="Candara" w:hAnsi="Candara"/>
          <w:b/>
          <w:sz w:val="20"/>
          <w:szCs w:val="20"/>
        </w:rPr>
        <w:br w:type="page"/>
      </w:r>
    </w:p>
    <w:p w14:paraId="1089DC48" w14:textId="114927DB" w:rsidR="005A1B61" w:rsidRPr="0016235B" w:rsidRDefault="005A1B61" w:rsidP="005A1B61">
      <w:pPr>
        <w:tabs>
          <w:tab w:val="left" w:pos="2055"/>
        </w:tabs>
        <w:jc w:val="both"/>
        <w:rPr>
          <w:rFonts w:ascii="Candara" w:hAnsi="Candara"/>
          <w:b/>
          <w:sz w:val="20"/>
          <w:szCs w:val="20"/>
        </w:rPr>
      </w:pPr>
      <w:r w:rsidRPr="0016235B">
        <w:rPr>
          <w:rFonts w:ascii="Candara" w:hAnsi="Candara"/>
          <w:b/>
          <w:sz w:val="20"/>
          <w:szCs w:val="20"/>
        </w:rPr>
        <w:lastRenderedPageBreak/>
        <w:t>Percentage of facilities with essential medicine items available (N=16</w:t>
      </w:r>
      <w:r w:rsidR="00803EE2" w:rsidRPr="0016235B">
        <w:rPr>
          <w:rFonts w:ascii="Candara" w:hAnsi="Candara"/>
          <w:b/>
          <w:sz w:val="20"/>
          <w:szCs w:val="20"/>
        </w:rPr>
        <w:t>6</w:t>
      </w:r>
      <w:r w:rsidRPr="0016235B">
        <w:rPr>
          <w:rFonts w:ascii="Candara" w:hAnsi="Candara"/>
          <w:b/>
          <w:sz w:val="20"/>
          <w:szCs w:val="20"/>
        </w:rPr>
        <w:t>)</w:t>
      </w:r>
    </w:p>
    <w:p w14:paraId="13D476AC" w14:textId="77777777" w:rsidR="005A1B61" w:rsidRPr="0016235B" w:rsidRDefault="005A1B61" w:rsidP="005A1B61">
      <w:pPr>
        <w:jc w:val="both"/>
        <w:rPr>
          <w:rFonts w:ascii="Candara" w:hAnsi="Candara"/>
          <w:sz w:val="20"/>
          <w:szCs w:val="20"/>
        </w:rPr>
      </w:pPr>
      <w:r w:rsidRPr="0016235B">
        <w:rPr>
          <w:rFonts w:ascii="Candara" w:hAnsi="Candara"/>
          <w:noProof/>
          <w:sz w:val="20"/>
          <w:szCs w:val="20"/>
        </w:rPr>
        <w:drawing>
          <wp:inline distT="0" distB="0" distL="0" distR="0" wp14:anchorId="7DD11C28" wp14:editId="76F0A8C3">
            <wp:extent cx="5943600" cy="4819650"/>
            <wp:effectExtent l="0" t="0" r="0" b="0"/>
            <wp:docPr id="89" name="Chart 89">
              <a:extLst xmlns:a="http://schemas.openxmlformats.org/drawingml/2006/main">
                <a:ext uri="{FF2B5EF4-FFF2-40B4-BE49-F238E27FC236}">
                  <a16:creationId xmlns:a16="http://schemas.microsoft.com/office/drawing/2014/main" id="{3C32C4B2-748D-41A6-9D9B-05519DCFBC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E830EF6" w14:textId="77777777" w:rsidR="00ED2E24" w:rsidRPr="0016235B" w:rsidRDefault="00ED2E24" w:rsidP="005A1B61">
      <w:pPr>
        <w:jc w:val="both"/>
        <w:rPr>
          <w:rFonts w:ascii="Candara" w:hAnsi="Candara"/>
          <w:sz w:val="20"/>
          <w:szCs w:val="20"/>
        </w:rPr>
      </w:pPr>
    </w:p>
    <w:p w14:paraId="2752100C" w14:textId="4905A71D" w:rsidR="005A1B61" w:rsidRPr="0016235B" w:rsidRDefault="005A1B61" w:rsidP="005A1B61">
      <w:pPr>
        <w:tabs>
          <w:tab w:val="left" w:pos="2055"/>
        </w:tabs>
        <w:jc w:val="both"/>
        <w:rPr>
          <w:rFonts w:ascii="Candara" w:hAnsi="Candara"/>
          <w:b/>
          <w:sz w:val="20"/>
          <w:szCs w:val="20"/>
        </w:rPr>
      </w:pPr>
      <w:r w:rsidRPr="0016235B">
        <w:rPr>
          <w:rFonts w:ascii="Candara" w:hAnsi="Candara"/>
          <w:b/>
          <w:sz w:val="20"/>
          <w:szCs w:val="20"/>
        </w:rPr>
        <w:t xml:space="preserve">Mean availability of essential medicine tracer items, by key </w:t>
      </w:r>
      <w:proofErr w:type="spellStart"/>
      <w:r w:rsidRPr="0016235B">
        <w:rPr>
          <w:rFonts w:ascii="Candara" w:hAnsi="Candara"/>
          <w:b/>
          <w:sz w:val="20"/>
          <w:szCs w:val="20"/>
        </w:rPr>
        <w:t>stratifiers</w:t>
      </w:r>
      <w:proofErr w:type="spellEnd"/>
      <w:r w:rsidRPr="0016235B">
        <w:rPr>
          <w:rFonts w:ascii="Candara" w:hAnsi="Candara"/>
          <w:b/>
          <w:sz w:val="20"/>
          <w:szCs w:val="20"/>
        </w:rPr>
        <w:t xml:space="preserve"> (N=16</w:t>
      </w:r>
      <w:r w:rsidR="00803EE2" w:rsidRPr="0016235B">
        <w:rPr>
          <w:rFonts w:ascii="Candara" w:hAnsi="Candara"/>
          <w:b/>
          <w:sz w:val="20"/>
          <w:szCs w:val="20"/>
        </w:rPr>
        <w:t>6</w:t>
      </w:r>
      <w:r w:rsidRPr="0016235B">
        <w:rPr>
          <w:rFonts w:ascii="Candara" w:hAnsi="Candara"/>
          <w:b/>
          <w:sz w:val="20"/>
          <w:szCs w:val="20"/>
        </w:rPr>
        <w:t>)</w:t>
      </w:r>
    </w:p>
    <w:p w14:paraId="123E5F0C" w14:textId="7934E371" w:rsidR="005A1B61" w:rsidRPr="0016235B" w:rsidRDefault="00586BFE" w:rsidP="005A1B61">
      <w:pPr>
        <w:tabs>
          <w:tab w:val="left" w:pos="2055"/>
        </w:tabs>
        <w:jc w:val="both"/>
        <w:rPr>
          <w:rFonts w:ascii="Candara" w:eastAsia="Times New Roman" w:hAnsi="Candara" w:cs="Calibri"/>
          <w:b/>
          <w:bCs/>
          <w:sz w:val="20"/>
          <w:szCs w:val="20"/>
        </w:rPr>
      </w:pPr>
      <w:r w:rsidRPr="0016235B">
        <w:rPr>
          <w:rFonts w:ascii="Candara" w:hAnsi="Candara"/>
          <w:noProof/>
        </w:rPr>
        <w:drawing>
          <wp:inline distT="0" distB="0" distL="0" distR="0" wp14:anchorId="7D0653BE" wp14:editId="30C3C1B3">
            <wp:extent cx="5731510" cy="3343275"/>
            <wp:effectExtent l="0" t="0" r="2540" b="9525"/>
            <wp:docPr id="4" name="Chart 4">
              <a:extLst xmlns:a="http://schemas.openxmlformats.org/drawingml/2006/main">
                <a:ext uri="{FF2B5EF4-FFF2-40B4-BE49-F238E27FC236}">
                  <a16:creationId xmlns:a16="http://schemas.microsoft.com/office/drawing/2014/main" id="{C9239EDE-6B4D-4733-A047-677EC324DB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FA2AB98" w14:textId="4AFB1360" w:rsidR="00924E67" w:rsidRPr="0016235B" w:rsidRDefault="0098564C" w:rsidP="005A1B61">
      <w:pPr>
        <w:tabs>
          <w:tab w:val="left" w:pos="2055"/>
        </w:tabs>
        <w:jc w:val="both"/>
        <w:rPr>
          <w:rFonts w:ascii="Candara" w:eastAsia="Times New Roman" w:hAnsi="Candara" w:cs="Calibri"/>
          <w:b/>
          <w:bCs/>
          <w:sz w:val="24"/>
          <w:szCs w:val="24"/>
        </w:rPr>
      </w:pPr>
      <w:r w:rsidRPr="0016235B">
        <w:rPr>
          <w:rFonts w:ascii="Candara" w:eastAsia="Times New Roman" w:hAnsi="Candara" w:cs="Calibri"/>
          <w:b/>
          <w:bCs/>
          <w:sz w:val="24"/>
          <w:szCs w:val="24"/>
        </w:rPr>
        <w:lastRenderedPageBreak/>
        <w:t>Mean availability of specific essential medicines</w:t>
      </w:r>
    </w:p>
    <w:p w14:paraId="6E9D9D97" w14:textId="72616F04" w:rsidR="00924E67" w:rsidRPr="0016235B" w:rsidRDefault="00924E67" w:rsidP="005A1B61">
      <w:pPr>
        <w:tabs>
          <w:tab w:val="left" w:pos="2055"/>
        </w:tabs>
        <w:jc w:val="both"/>
        <w:rPr>
          <w:rFonts w:ascii="Candara" w:eastAsia="Times New Roman" w:hAnsi="Candara" w:cs="Calibri"/>
          <w:b/>
          <w:bCs/>
          <w:sz w:val="20"/>
          <w:szCs w:val="20"/>
        </w:rPr>
      </w:pPr>
      <w:r w:rsidRPr="0016235B">
        <w:rPr>
          <w:rFonts w:ascii="Candara" w:hAnsi="Candara"/>
          <w:noProof/>
        </w:rPr>
        <w:drawing>
          <wp:inline distT="0" distB="0" distL="0" distR="0" wp14:anchorId="1EECD847" wp14:editId="529263DB">
            <wp:extent cx="5731510" cy="2921000"/>
            <wp:effectExtent l="0" t="0" r="2540" b="12700"/>
            <wp:docPr id="6" name="Chart 6">
              <a:extLst xmlns:a="http://schemas.openxmlformats.org/drawingml/2006/main">
                <a:ext uri="{FF2B5EF4-FFF2-40B4-BE49-F238E27FC236}">
                  <a16:creationId xmlns:a16="http://schemas.microsoft.com/office/drawing/2014/main" id="{BD4EB415-689A-4C09-AE5C-BF98B327D1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FB38C9D" w14:textId="77777777" w:rsidR="00924E67" w:rsidRPr="0016235B" w:rsidRDefault="00924E67" w:rsidP="005A1B61">
      <w:pPr>
        <w:tabs>
          <w:tab w:val="left" w:pos="2055"/>
        </w:tabs>
        <w:jc w:val="both"/>
        <w:rPr>
          <w:rFonts w:ascii="Candara" w:eastAsia="Times New Roman" w:hAnsi="Candara" w:cs="Calibri"/>
          <w:b/>
          <w:bCs/>
          <w:sz w:val="20"/>
          <w:szCs w:val="20"/>
        </w:rPr>
      </w:pPr>
    </w:p>
    <w:tbl>
      <w:tblPr>
        <w:tblStyle w:val="TableGrid"/>
        <w:tblW w:w="0" w:type="auto"/>
        <w:tblLook w:val="04A0" w:firstRow="1" w:lastRow="0" w:firstColumn="1" w:lastColumn="0" w:noHBand="0" w:noVBand="1"/>
      </w:tblPr>
      <w:tblGrid>
        <w:gridCol w:w="9016"/>
      </w:tblGrid>
      <w:tr w:rsidR="00586BFE" w:rsidRPr="0016235B" w14:paraId="36BD300C" w14:textId="77777777" w:rsidTr="00765F2B">
        <w:tc>
          <w:tcPr>
            <w:tcW w:w="9016" w:type="dxa"/>
          </w:tcPr>
          <w:p w14:paraId="4B3B2311" w14:textId="77777777" w:rsidR="00586BFE" w:rsidRPr="0016235B" w:rsidRDefault="00586BFE" w:rsidP="00765F2B">
            <w:pPr>
              <w:tabs>
                <w:tab w:val="left" w:pos="1571"/>
              </w:tabs>
              <w:rPr>
                <w:rFonts w:ascii="Candara" w:hAnsi="Candara"/>
                <w:b/>
              </w:rPr>
            </w:pPr>
            <w:r w:rsidRPr="0016235B">
              <w:rPr>
                <w:rFonts w:ascii="Candara" w:hAnsi="Candara"/>
                <w:b/>
              </w:rPr>
              <w:t>Key findings</w:t>
            </w:r>
          </w:p>
        </w:tc>
      </w:tr>
      <w:tr w:rsidR="00586BFE" w:rsidRPr="0016235B" w14:paraId="0D88C4DF" w14:textId="77777777" w:rsidTr="0098564C">
        <w:trPr>
          <w:trHeight w:val="4008"/>
        </w:trPr>
        <w:tc>
          <w:tcPr>
            <w:tcW w:w="9016" w:type="dxa"/>
          </w:tcPr>
          <w:p w14:paraId="5783C51D" w14:textId="77777777" w:rsidR="00484520" w:rsidRPr="0016235B" w:rsidRDefault="00484520" w:rsidP="00484520">
            <w:pPr>
              <w:pStyle w:val="ListParagraph"/>
              <w:tabs>
                <w:tab w:val="left" w:pos="1047"/>
              </w:tabs>
              <w:jc w:val="both"/>
              <w:rPr>
                <w:rFonts w:ascii="Candara" w:hAnsi="Candara"/>
              </w:rPr>
            </w:pPr>
          </w:p>
          <w:p w14:paraId="752DC744" w14:textId="2E0CD141" w:rsidR="00484520" w:rsidRPr="0016235B" w:rsidRDefault="00897AA0" w:rsidP="00484520">
            <w:pPr>
              <w:pStyle w:val="ListParagraph"/>
              <w:numPr>
                <w:ilvl w:val="0"/>
                <w:numId w:val="3"/>
              </w:numPr>
              <w:tabs>
                <w:tab w:val="left" w:pos="1047"/>
              </w:tabs>
              <w:jc w:val="both"/>
              <w:rPr>
                <w:rFonts w:ascii="Candara" w:hAnsi="Candara"/>
              </w:rPr>
            </w:pPr>
            <w:r w:rsidRPr="0016235B">
              <w:rPr>
                <w:rFonts w:ascii="Candara" w:hAnsi="Candara"/>
              </w:rPr>
              <w:t xml:space="preserve">On average, health facilities had 8 (32%) of the 25 </w:t>
            </w:r>
            <w:r w:rsidR="00586BFE" w:rsidRPr="0016235B">
              <w:rPr>
                <w:rFonts w:ascii="Candara" w:hAnsi="Candara"/>
              </w:rPr>
              <w:t xml:space="preserve">essential medicines </w:t>
            </w:r>
            <w:r w:rsidR="00B8607B" w:rsidRPr="0016235B">
              <w:rPr>
                <w:rFonts w:ascii="Candara" w:hAnsi="Candara"/>
              </w:rPr>
              <w:t>available, while only</w:t>
            </w:r>
            <w:r w:rsidR="00586BFE" w:rsidRPr="0016235B">
              <w:rPr>
                <w:rFonts w:ascii="Candara" w:hAnsi="Candara"/>
              </w:rPr>
              <w:t xml:space="preserve"> 1% of facilities had a</w:t>
            </w:r>
            <w:r w:rsidRPr="0016235B">
              <w:rPr>
                <w:rFonts w:ascii="Candara" w:hAnsi="Candara"/>
              </w:rPr>
              <w:t xml:space="preserve">ll </w:t>
            </w:r>
            <w:r w:rsidR="00484520" w:rsidRPr="0016235B">
              <w:rPr>
                <w:rFonts w:ascii="Candara" w:hAnsi="Candara"/>
              </w:rPr>
              <w:t xml:space="preserve">the </w:t>
            </w:r>
            <w:r w:rsidRPr="0016235B">
              <w:rPr>
                <w:rFonts w:ascii="Candara" w:hAnsi="Candara"/>
              </w:rPr>
              <w:t>25 essential medicines</w:t>
            </w:r>
          </w:p>
          <w:p w14:paraId="42A3D82C" w14:textId="0CA387F9" w:rsidR="00586BFE" w:rsidRPr="0016235B" w:rsidRDefault="00484520" w:rsidP="0098564C">
            <w:pPr>
              <w:pStyle w:val="ListParagraph"/>
              <w:numPr>
                <w:ilvl w:val="0"/>
                <w:numId w:val="3"/>
              </w:numPr>
              <w:tabs>
                <w:tab w:val="left" w:pos="1047"/>
              </w:tabs>
              <w:jc w:val="both"/>
              <w:rPr>
                <w:rFonts w:ascii="Candara" w:hAnsi="Candara"/>
              </w:rPr>
            </w:pPr>
            <w:r w:rsidRPr="0016235B">
              <w:rPr>
                <w:rFonts w:ascii="Candara" w:hAnsi="Candara"/>
              </w:rPr>
              <w:t xml:space="preserve">The availability varied by type of medicine, with for instance ORS available in </w:t>
            </w:r>
            <w:r w:rsidR="00586BFE" w:rsidRPr="0016235B">
              <w:rPr>
                <w:rFonts w:ascii="Candara" w:hAnsi="Candara"/>
              </w:rPr>
              <w:t>86% of the facilities</w:t>
            </w:r>
            <w:r w:rsidRPr="0016235B">
              <w:rPr>
                <w:rFonts w:ascii="Candara" w:hAnsi="Candara"/>
              </w:rPr>
              <w:t xml:space="preserve"> and simvastatin available in only 8% of the facilities.</w:t>
            </w:r>
          </w:p>
          <w:p w14:paraId="22A8D7FE" w14:textId="2FAA51DB" w:rsidR="00586BFE" w:rsidRPr="0016235B" w:rsidRDefault="00586BFE" w:rsidP="0098564C">
            <w:pPr>
              <w:pStyle w:val="ListParagraph"/>
              <w:numPr>
                <w:ilvl w:val="0"/>
                <w:numId w:val="3"/>
              </w:numPr>
              <w:tabs>
                <w:tab w:val="left" w:pos="1047"/>
              </w:tabs>
              <w:jc w:val="both"/>
              <w:rPr>
                <w:rFonts w:ascii="Candara" w:hAnsi="Candara"/>
              </w:rPr>
            </w:pPr>
            <w:r w:rsidRPr="0016235B">
              <w:rPr>
                <w:rFonts w:ascii="Candara" w:hAnsi="Candara"/>
              </w:rPr>
              <w:t>Few facilities at 8%,</w:t>
            </w:r>
            <w:r w:rsidR="00C0765A" w:rsidRPr="0016235B">
              <w:rPr>
                <w:rFonts w:ascii="Candara" w:hAnsi="Candara"/>
              </w:rPr>
              <w:t xml:space="preserve"> </w:t>
            </w:r>
            <w:r w:rsidRPr="0016235B">
              <w:rPr>
                <w:rFonts w:ascii="Candara" w:hAnsi="Candara"/>
              </w:rPr>
              <w:t>11%</w:t>
            </w:r>
            <w:r w:rsidR="00C0765A" w:rsidRPr="0016235B">
              <w:rPr>
                <w:rFonts w:ascii="Candara" w:hAnsi="Candara"/>
              </w:rPr>
              <w:t xml:space="preserve"> and 15</w:t>
            </w:r>
            <w:r w:rsidRPr="0016235B">
              <w:rPr>
                <w:rFonts w:ascii="Candara" w:hAnsi="Candara"/>
              </w:rPr>
              <w:t xml:space="preserve">% were found with </w:t>
            </w:r>
            <w:r w:rsidR="00C0765A" w:rsidRPr="0016235B">
              <w:rPr>
                <w:rFonts w:ascii="Candara" w:hAnsi="Candara"/>
              </w:rPr>
              <w:t>S</w:t>
            </w:r>
            <w:r w:rsidRPr="0016235B">
              <w:rPr>
                <w:rFonts w:ascii="Candara" w:hAnsi="Candara"/>
              </w:rPr>
              <w:t xml:space="preserve">imvastatin cap/tab, </w:t>
            </w:r>
            <w:proofErr w:type="spellStart"/>
            <w:r w:rsidR="00C0765A" w:rsidRPr="0016235B">
              <w:rPr>
                <w:rFonts w:ascii="Candara" w:hAnsi="Candara"/>
              </w:rPr>
              <w:t>B</w:t>
            </w:r>
            <w:r w:rsidRPr="0016235B">
              <w:rPr>
                <w:rFonts w:ascii="Candara" w:hAnsi="Candara"/>
              </w:rPr>
              <w:t>eclometasone</w:t>
            </w:r>
            <w:proofErr w:type="spellEnd"/>
            <w:r w:rsidRPr="0016235B">
              <w:rPr>
                <w:rFonts w:ascii="Candara" w:hAnsi="Candara"/>
              </w:rPr>
              <w:t xml:space="preserve"> and </w:t>
            </w:r>
            <w:r w:rsidR="00C0765A" w:rsidRPr="0016235B">
              <w:rPr>
                <w:rFonts w:ascii="Candara" w:hAnsi="Candara"/>
              </w:rPr>
              <w:t>I</w:t>
            </w:r>
            <w:r w:rsidRPr="0016235B">
              <w:rPr>
                <w:rFonts w:ascii="Candara" w:hAnsi="Candara"/>
              </w:rPr>
              <w:t>nsulin regular injection respectively</w:t>
            </w:r>
          </w:p>
          <w:p w14:paraId="4272F41B" w14:textId="18229E01" w:rsidR="00586BFE" w:rsidRPr="0016235B" w:rsidRDefault="00586BFE" w:rsidP="0098564C">
            <w:pPr>
              <w:pStyle w:val="ListParagraph"/>
              <w:numPr>
                <w:ilvl w:val="0"/>
                <w:numId w:val="3"/>
              </w:numPr>
              <w:tabs>
                <w:tab w:val="left" w:pos="1047"/>
              </w:tabs>
              <w:jc w:val="both"/>
              <w:rPr>
                <w:rFonts w:ascii="Candara" w:hAnsi="Candara"/>
              </w:rPr>
            </w:pPr>
            <w:r w:rsidRPr="0016235B">
              <w:rPr>
                <w:rFonts w:ascii="Candara" w:hAnsi="Candara"/>
              </w:rPr>
              <w:t xml:space="preserve"> On average, 62% of </w:t>
            </w:r>
            <w:r w:rsidR="00C0765A" w:rsidRPr="0016235B">
              <w:rPr>
                <w:rFonts w:ascii="Candara" w:hAnsi="Candara"/>
              </w:rPr>
              <w:t>R</w:t>
            </w:r>
            <w:r w:rsidRPr="0016235B">
              <w:rPr>
                <w:rFonts w:ascii="Candara" w:hAnsi="Candara"/>
              </w:rPr>
              <w:t xml:space="preserve">egional and </w:t>
            </w:r>
            <w:r w:rsidR="00C0765A" w:rsidRPr="0016235B">
              <w:rPr>
                <w:rFonts w:ascii="Candara" w:hAnsi="Candara"/>
              </w:rPr>
              <w:t>G</w:t>
            </w:r>
            <w:r w:rsidRPr="0016235B">
              <w:rPr>
                <w:rFonts w:ascii="Candara" w:hAnsi="Candara"/>
              </w:rPr>
              <w:t xml:space="preserve">eneral </w:t>
            </w:r>
            <w:r w:rsidR="00C0765A" w:rsidRPr="0016235B">
              <w:rPr>
                <w:rFonts w:ascii="Candara" w:hAnsi="Candara"/>
              </w:rPr>
              <w:t>Hospitals</w:t>
            </w:r>
            <w:r w:rsidRPr="0016235B">
              <w:rPr>
                <w:rFonts w:ascii="Candara" w:hAnsi="Candara"/>
              </w:rPr>
              <w:t xml:space="preserve"> had essential medicines and these were higher com</w:t>
            </w:r>
            <w:r w:rsidR="00C0765A" w:rsidRPr="0016235B">
              <w:rPr>
                <w:rFonts w:ascii="Candara" w:hAnsi="Candara"/>
              </w:rPr>
              <w:t>pared to lower level facilities</w:t>
            </w:r>
          </w:p>
          <w:p w14:paraId="4F0B7890" w14:textId="3A665257" w:rsidR="00586BFE" w:rsidRPr="0016235B" w:rsidRDefault="00586BFE" w:rsidP="0098564C">
            <w:pPr>
              <w:pStyle w:val="ListParagraph"/>
              <w:numPr>
                <w:ilvl w:val="0"/>
                <w:numId w:val="3"/>
              </w:numPr>
              <w:tabs>
                <w:tab w:val="left" w:pos="1047"/>
              </w:tabs>
              <w:jc w:val="both"/>
              <w:rPr>
                <w:rFonts w:ascii="Candara" w:hAnsi="Candara"/>
              </w:rPr>
            </w:pPr>
            <w:r w:rsidRPr="0016235B">
              <w:rPr>
                <w:rFonts w:ascii="Candara" w:hAnsi="Candara"/>
              </w:rPr>
              <w:t>There was a significant difference for private (41%) and public (23%) facilities in availabi</w:t>
            </w:r>
            <w:r w:rsidR="00C0765A" w:rsidRPr="0016235B">
              <w:rPr>
                <w:rFonts w:ascii="Candara" w:hAnsi="Candara"/>
              </w:rPr>
              <w:t>lity of the essential medicines</w:t>
            </w:r>
          </w:p>
          <w:p w14:paraId="061D1477" w14:textId="57441422" w:rsidR="00586BFE" w:rsidRPr="0016235B" w:rsidRDefault="00586BFE" w:rsidP="0098564C">
            <w:pPr>
              <w:pStyle w:val="ListParagraph"/>
              <w:numPr>
                <w:ilvl w:val="0"/>
                <w:numId w:val="3"/>
              </w:numPr>
              <w:tabs>
                <w:tab w:val="left" w:pos="1047"/>
              </w:tabs>
              <w:jc w:val="both"/>
              <w:rPr>
                <w:rFonts w:ascii="Candara" w:hAnsi="Candara"/>
              </w:rPr>
            </w:pPr>
            <w:r w:rsidRPr="0016235B">
              <w:rPr>
                <w:rFonts w:ascii="Candara" w:hAnsi="Candara"/>
              </w:rPr>
              <w:t xml:space="preserve">Urban facilities (39%) showed a higher </w:t>
            </w:r>
            <w:r w:rsidR="003840FF" w:rsidRPr="0016235B">
              <w:rPr>
                <w:rFonts w:ascii="Candara" w:hAnsi="Candara"/>
              </w:rPr>
              <w:t>availability of</w:t>
            </w:r>
            <w:r w:rsidRPr="0016235B">
              <w:rPr>
                <w:rFonts w:ascii="Candara" w:hAnsi="Candara"/>
              </w:rPr>
              <w:t xml:space="preserve"> essential medicines</w:t>
            </w:r>
          </w:p>
          <w:p w14:paraId="03572A6B" w14:textId="77777777" w:rsidR="00586BFE" w:rsidRPr="0016235B" w:rsidRDefault="00C0765A" w:rsidP="0098564C">
            <w:pPr>
              <w:pStyle w:val="ListParagraph"/>
              <w:numPr>
                <w:ilvl w:val="0"/>
                <w:numId w:val="3"/>
              </w:numPr>
              <w:tabs>
                <w:tab w:val="left" w:pos="1047"/>
              </w:tabs>
              <w:jc w:val="both"/>
              <w:rPr>
                <w:rFonts w:ascii="Candara" w:hAnsi="Candara"/>
              </w:rPr>
            </w:pPr>
            <w:r w:rsidRPr="0016235B">
              <w:rPr>
                <w:rFonts w:ascii="Candara" w:hAnsi="Candara"/>
              </w:rPr>
              <w:t xml:space="preserve">The proportion of facilities for all </w:t>
            </w:r>
            <w:r w:rsidR="00586BFE" w:rsidRPr="0016235B">
              <w:rPr>
                <w:rFonts w:ascii="Candara" w:hAnsi="Candara"/>
              </w:rPr>
              <w:t>region</w:t>
            </w:r>
            <w:r w:rsidRPr="0016235B">
              <w:rPr>
                <w:rFonts w:ascii="Candara" w:hAnsi="Candara"/>
              </w:rPr>
              <w:t>s with essential medic</w:t>
            </w:r>
            <w:r w:rsidR="005255FB" w:rsidRPr="0016235B">
              <w:rPr>
                <w:rFonts w:ascii="Candara" w:hAnsi="Candara"/>
              </w:rPr>
              <w:t>i</w:t>
            </w:r>
            <w:r w:rsidRPr="0016235B">
              <w:rPr>
                <w:rFonts w:ascii="Candara" w:hAnsi="Candara"/>
              </w:rPr>
              <w:t>nes was under 50%</w:t>
            </w:r>
          </w:p>
          <w:p w14:paraId="7DED23F1" w14:textId="09920D16" w:rsidR="0098564C" w:rsidRPr="0016235B" w:rsidRDefault="0098564C" w:rsidP="0098564C">
            <w:pPr>
              <w:pStyle w:val="ListParagraph"/>
              <w:numPr>
                <w:ilvl w:val="0"/>
                <w:numId w:val="3"/>
              </w:numPr>
              <w:tabs>
                <w:tab w:val="left" w:pos="1830"/>
              </w:tabs>
              <w:jc w:val="both"/>
              <w:rPr>
                <w:rFonts w:ascii="Candara" w:hAnsi="Candara"/>
              </w:rPr>
            </w:pPr>
            <w:r w:rsidRPr="0016235B">
              <w:rPr>
                <w:rFonts w:ascii="Candara" w:hAnsi="Candara"/>
              </w:rPr>
              <w:t>Majority of the available medicines in the facilities was medicines was for infectious illnesses at 64% and the least available were palliative care medicines at 4%</w:t>
            </w:r>
          </w:p>
        </w:tc>
      </w:tr>
    </w:tbl>
    <w:p w14:paraId="74CBD86F" w14:textId="77777777" w:rsidR="00586BFE" w:rsidRPr="0016235B" w:rsidRDefault="00586BFE" w:rsidP="005A1B61">
      <w:pPr>
        <w:tabs>
          <w:tab w:val="left" w:pos="2055"/>
        </w:tabs>
        <w:jc w:val="both"/>
        <w:rPr>
          <w:rFonts w:ascii="Candara" w:eastAsia="Times New Roman" w:hAnsi="Candara" w:cs="Calibri"/>
          <w:b/>
          <w:bCs/>
          <w:sz w:val="20"/>
          <w:szCs w:val="20"/>
        </w:rPr>
      </w:pPr>
    </w:p>
    <w:p w14:paraId="755A7B49" w14:textId="3313AB2C" w:rsidR="0033595F" w:rsidRPr="0016235B" w:rsidRDefault="0033595F" w:rsidP="005722F2">
      <w:pPr>
        <w:pStyle w:val="Heading2"/>
        <w:numPr>
          <w:ilvl w:val="1"/>
          <w:numId w:val="25"/>
        </w:numPr>
        <w:rPr>
          <w:rFonts w:ascii="Candara" w:hAnsi="Candara"/>
          <w:b/>
          <w:sz w:val="28"/>
          <w:szCs w:val="28"/>
        </w:rPr>
      </w:pPr>
      <w:bookmarkStart w:id="29" w:name="_Toc11494042"/>
      <w:r w:rsidRPr="0016235B">
        <w:rPr>
          <w:rFonts w:ascii="Candara" w:hAnsi="Candara"/>
          <w:b/>
          <w:sz w:val="28"/>
          <w:szCs w:val="28"/>
        </w:rPr>
        <w:t>A</w:t>
      </w:r>
      <w:r w:rsidR="00E46B92" w:rsidRPr="0016235B">
        <w:rPr>
          <w:rFonts w:ascii="Candara" w:hAnsi="Candara"/>
          <w:b/>
          <w:sz w:val="28"/>
          <w:szCs w:val="28"/>
        </w:rPr>
        <w:t xml:space="preserve">ntenatal </w:t>
      </w:r>
      <w:r w:rsidR="007F6C00" w:rsidRPr="0016235B">
        <w:rPr>
          <w:rFonts w:ascii="Candara" w:hAnsi="Candara"/>
          <w:b/>
          <w:sz w:val="28"/>
          <w:szCs w:val="28"/>
        </w:rPr>
        <w:t>Care services (A</w:t>
      </w:r>
      <w:r w:rsidRPr="0016235B">
        <w:rPr>
          <w:rFonts w:ascii="Candara" w:hAnsi="Candara"/>
          <w:b/>
          <w:sz w:val="28"/>
          <w:szCs w:val="28"/>
        </w:rPr>
        <w:t>NC</w:t>
      </w:r>
      <w:r w:rsidR="007F6C00" w:rsidRPr="0016235B">
        <w:rPr>
          <w:rFonts w:ascii="Candara" w:hAnsi="Candara"/>
          <w:b/>
          <w:sz w:val="28"/>
          <w:szCs w:val="28"/>
        </w:rPr>
        <w:t>)</w:t>
      </w:r>
      <w:bookmarkEnd w:id="29"/>
    </w:p>
    <w:p w14:paraId="5EFA033B" w14:textId="77777777" w:rsidR="00E37392" w:rsidRPr="0016235B" w:rsidRDefault="00E37392" w:rsidP="007F6C00">
      <w:pPr>
        <w:jc w:val="both"/>
        <w:rPr>
          <w:rFonts w:ascii="Candara" w:hAnsi="Candara"/>
        </w:rPr>
      </w:pPr>
    </w:p>
    <w:p w14:paraId="6CEFF587" w14:textId="07FAC3B6" w:rsidR="00D73C6C" w:rsidRPr="0016235B" w:rsidRDefault="00D73C6C" w:rsidP="007F6C00">
      <w:pPr>
        <w:jc w:val="both"/>
        <w:rPr>
          <w:rFonts w:ascii="Candara" w:eastAsia="MS Mincho" w:hAnsi="Candara"/>
          <w:sz w:val="24"/>
          <w:szCs w:val="24"/>
        </w:rPr>
      </w:pPr>
      <w:r w:rsidRPr="0016235B">
        <w:rPr>
          <w:rFonts w:ascii="Candara" w:eastAsia="MS Mincho" w:hAnsi="Candara"/>
          <w:sz w:val="24"/>
          <w:szCs w:val="24"/>
        </w:rPr>
        <w:t xml:space="preserve">The survey examined </w:t>
      </w:r>
      <w:r w:rsidR="003F23F4" w:rsidRPr="0016235B">
        <w:rPr>
          <w:rFonts w:ascii="Candara" w:eastAsia="MS Mincho" w:hAnsi="Candara"/>
          <w:sz w:val="24"/>
          <w:szCs w:val="24"/>
        </w:rPr>
        <w:t>provision of</w:t>
      </w:r>
      <w:r w:rsidRPr="0016235B">
        <w:rPr>
          <w:rFonts w:ascii="Candara" w:eastAsia="MS Mincho" w:hAnsi="Candara"/>
          <w:sz w:val="24"/>
          <w:szCs w:val="24"/>
        </w:rPr>
        <w:t xml:space="preserve"> services to pregnant women as part of quality routine </w:t>
      </w:r>
      <w:r w:rsidR="003F23F4" w:rsidRPr="0016235B">
        <w:rPr>
          <w:rFonts w:ascii="Candara" w:eastAsia="MS Mincho" w:hAnsi="Candara"/>
          <w:sz w:val="24"/>
          <w:szCs w:val="24"/>
        </w:rPr>
        <w:t>antenatal</w:t>
      </w:r>
      <w:r w:rsidRPr="0016235B">
        <w:rPr>
          <w:rFonts w:ascii="Candara" w:eastAsia="MS Mincho" w:hAnsi="Candara"/>
          <w:sz w:val="24"/>
          <w:szCs w:val="24"/>
        </w:rPr>
        <w:t xml:space="preserve"> </w:t>
      </w:r>
      <w:r w:rsidR="003F23F4" w:rsidRPr="0016235B">
        <w:rPr>
          <w:rFonts w:ascii="Candara" w:eastAsia="MS Mincho" w:hAnsi="Candara"/>
          <w:sz w:val="24"/>
          <w:szCs w:val="24"/>
        </w:rPr>
        <w:t xml:space="preserve">(ANC) </w:t>
      </w:r>
      <w:r w:rsidRPr="0016235B">
        <w:rPr>
          <w:rFonts w:ascii="Candara" w:eastAsia="MS Mincho" w:hAnsi="Candara"/>
          <w:sz w:val="24"/>
          <w:szCs w:val="24"/>
        </w:rPr>
        <w:t>services</w:t>
      </w:r>
      <w:r w:rsidR="00976CF7" w:rsidRPr="0016235B">
        <w:rPr>
          <w:rFonts w:ascii="Candara" w:eastAsia="MS Mincho" w:hAnsi="Candara"/>
          <w:sz w:val="24"/>
          <w:szCs w:val="24"/>
        </w:rPr>
        <w:t xml:space="preserve"> including</w:t>
      </w:r>
      <w:r w:rsidRPr="0016235B">
        <w:rPr>
          <w:rFonts w:ascii="Candara" w:eastAsia="MS Mincho" w:hAnsi="Candara"/>
          <w:sz w:val="24"/>
          <w:szCs w:val="24"/>
        </w:rPr>
        <w:t xml:space="preserve"> Iron supplementation, Folic acid supplementation</w:t>
      </w:r>
      <w:r w:rsidR="003F23F4" w:rsidRPr="0016235B">
        <w:rPr>
          <w:rFonts w:ascii="Candara" w:eastAsia="MS Mincho" w:hAnsi="Candara"/>
          <w:sz w:val="24"/>
          <w:szCs w:val="24"/>
        </w:rPr>
        <w:t>, I</w:t>
      </w:r>
      <w:r w:rsidRPr="0016235B">
        <w:rPr>
          <w:rFonts w:ascii="Candara" w:eastAsia="MS Mincho" w:hAnsi="Candara"/>
          <w:sz w:val="24"/>
          <w:szCs w:val="24"/>
        </w:rPr>
        <w:t xml:space="preserve">ntermittent </w:t>
      </w:r>
      <w:r w:rsidR="003F23F4" w:rsidRPr="0016235B">
        <w:rPr>
          <w:rFonts w:ascii="Candara" w:eastAsia="MS Mincho" w:hAnsi="Candara"/>
          <w:sz w:val="24"/>
          <w:szCs w:val="24"/>
        </w:rPr>
        <w:t>P</w:t>
      </w:r>
      <w:r w:rsidRPr="0016235B">
        <w:rPr>
          <w:rFonts w:ascii="Candara" w:eastAsia="MS Mincho" w:hAnsi="Candara"/>
          <w:sz w:val="24"/>
          <w:szCs w:val="24"/>
        </w:rPr>
        <w:t xml:space="preserve">reventive </w:t>
      </w:r>
      <w:r w:rsidR="003F23F4" w:rsidRPr="0016235B">
        <w:rPr>
          <w:rFonts w:ascii="Candara" w:eastAsia="MS Mincho" w:hAnsi="Candara"/>
          <w:sz w:val="24"/>
          <w:szCs w:val="24"/>
        </w:rPr>
        <w:t>T</w:t>
      </w:r>
      <w:r w:rsidRPr="0016235B">
        <w:rPr>
          <w:rFonts w:ascii="Candara" w:eastAsia="MS Mincho" w:hAnsi="Candara"/>
          <w:sz w:val="24"/>
          <w:szCs w:val="24"/>
        </w:rPr>
        <w:t xml:space="preserve">reatment in pregnancy (IPTp) for malaria, Tetanus toxoid immunization, Monitoring for hypertensive disorder of pregnancy. Provision of </w:t>
      </w:r>
      <w:r w:rsidR="003F23F4" w:rsidRPr="0016235B">
        <w:rPr>
          <w:rFonts w:ascii="Candara" w:eastAsia="MS Mincho" w:hAnsi="Candara"/>
          <w:sz w:val="24"/>
          <w:szCs w:val="24"/>
        </w:rPr>
        <w:t xml:space="preserve">these </w:t>
      </w:r>
      <w:r w:rsidRPr="0016235B">
        <w:rPr>
          <w:rFonts w:ascii="Candara" w:eastAsia="MS Mincho" w:hAnsi="Candara"/>
          <w:sz w:val="24"/>
          <w:szCs w:val="24"/>
        </w:rPr>
        <w:t>service</w:t>
      </w:r>
      <w:r w:rsidR="003F23F4" w:rsidRPr="0016235B">
        <w:rPr>
          <w:rFonts w:ascii="Candara" w:eastAsia="MS Mincho" w:hAnsi="Candara"/>
          <w:sz w:val="24"/>
          <w:szCs w:val="24"/>
        </w:rPr>
        <w:t>s</w:t>
      </w:r>
      <w:r w:rsidRPr="0016235B">
        <w:rPr>
          <w:rFonts w:ascii="Candara" w:eastAsia="MS Mincho" w:hAnsi="Candara"/>
          <w:sz w:val="24"/>
          <w:szCs w:val="24"/>
        </w:rPr>
        <w:t xml:space="preserve"> </w:t>
      </w:r>
      <w:r w:rsidR="003F23F4" w:rsidRPr="0016235B">
        <w:rPr>
          <w:rFonts w:ascii="Candara" w:eastAsia="MS Mincho" w:hAnsi="Candara"/>
          <w:sz w:val="24"/>
          <w:szCs w:val="24"/>
        </w:rPr>
        <w:t xml:space="preserve">were explored </w:t>
      </w:r>
      <w:r w:rsidRPr="0016235B">
        <w:rPr>
          <w:rFonts w:ascii="Candara" w:eastAsia="MS Mincho" w:hAnsi="Candara"/>
          <w:sz w:val="24"/>
          <w:szCs w:val="24"/>
        </w:rPr>
        <w:t>across level of service delivery</w:t>
      </w:r>
      <w:r w:rsidR="003F23F4" w:rsidRPr="0016235B">
        <w:rPr>
          <w:rFonts w:ascii="Candara" w:eastAsia="MS Mincho" w:hAnsi="Candara"/>
          <w:sz w:val="24"/>
          <w:szCs w:val="24"/>
        </w:rPr>
        <w:t>,</w:t>
      </w:r>
      <w:r w:rsidRPr="0016235B">
        <w:rPr>
          <w:rFonts w:ascii="Candara" w:eastAsia="MS Mincho" w:hAnsi="Candara"/>
          <w:sz w:val="24"/>
          <w:szCs w:val="24"/>
        </w:rPr>
        <w:t xml:space="preserve"> ownership, location and at </w:t>
      </w:r>
      <w:r w:rsidR="003F23F4" w:rsidRPr="0016235B">
        <w:rPr>
          <w:rFonts w:ascii="Candara" w:eastAsia="MS Mincho" w:hAnsi="Candara"/>
          <w:sz w:val="24"/>
          <w:szCs w:val="24"/>
        </w:rPr>
        <w:t>r</w:t>
      </w:r>
      <w:r w:rsidRPr="0016235B">
        <w:rPr>
          <w:rFonts w:ascii="Candara" w:eastAsia="MS Mincho" w:hAnsi="Candara"/>
          <w:sz w:val="24"/>
          <w:szCs w:val="24"/>
        </w:rPr>
        <w:t>egional levels</w:t>
      </w:r>
      <w:r w:rsidR="001478B5" w:rsidRPr="0016235B">
        <w:rPr>
          <w:rFonts w:ascii="Candara" w:eastAsia="MS Mincho" w:hAnsi="Candara"/>
          <w:sz w:val="24"/>
          <w:szCs w:val="24"/>
        </w:rPr>
        <w:t>.</w:t>
      </w:r>
      <w:r w:rsidR="00631E0A" w:rsidRPr="0016235B">
        <w:rPr>
          <w:rFonts w:ascii="Candara" w:eastAsia="MS Mincho" w:hAnsi="Candara"/>
          <w:sz w:val="24"/>
          <w:szCs w:val="24"/>
        </w:rPr>
        <w:t xml:space="preserve"> </w:t>
      </w:r>
      <w:r w:rsidR="001478B5" w:rsidRPr="0016235B">
        <w:rPr>
          <w:rFonts w:ascii="Candara" w:eastAsia="MS Mincho" w:hAnsi="Candara"/>
          <w:sz w:val="24"/>
          <w:szCs w:val="24"/>
        </w:rPr>
        <w:t xml:space="preserve">Capacity to offer ANC services was </w:t>
      </w:r>
      <w:r w:rsidR="001E470D" w:rsidRPr="0016235B">
        <w:rPr>
          <w:rFonts w:ascii="Candara" w:eastAsia="MS Mincho" w:hAnsi="Candara"/>
          <w:sz w:val="24"/>
          <w:szCs w:val="24"/>
        </w:rPr>
        <w:t>assessed</w:t>
      </w:r>
      <w:r w:rsidR="001478B5" w:rsidRPr="0016235B">
        <w:rPr>
          <w:rFonts w:ascii="Candara" w:eastAsia="MS Mincho" w:hAnsi="Candara"/>
          <w:sz w:val="24"/>
          <w:szCs w:val="24"/>
        </w:rPr>
        <w:t xml:space="preserve"> through training </w:t>
      </w:r>
      <w:r w:rsidR="001E470D" w:rsidRPr="0016235B">
        <w:rPr>
          <w:rFonts w:ascii="Candara" w:eastAsia="MS Mincho" w:hAnsi="Candara"/>
          <w:sz w:val="24"/>
          <w:szCs w:val="24"/>
        </w:rPr>
        <w:t xml:space="preserve">received </w:t>
      </w:r>
      <w:r w:rsidR="001478B5" w:rsidRPr="0016235B">
        <w:rPr>
          <w:rFonts w:ascii="Candara" w:eastAsia="MS Mincho" w:hAnsi="Candara"/>
          <w:sz w:val="24"/>
          <w:szCs w:val="24"/>
        </w:rPr>
        <w:t xml:space="preserve">in the previous two years for ANC but also specifically for </w:t>
      </w:r>
      <w:r w:rsidR="00201404" w:rsidRPr="0016235B">
        <w:rPr>
          <w:rFonts w:ascii="Candara" w:eastAsia="MS Mincho" w:hAnsi="Candara"/>
          <w:sz w:val="24"/>
          <w:szCs w:val="24"/>
        </w:rPr>
        <w:t>IPTp</w:t>
      </w:r>
      <w:r w:rsidR="001E470D" w:rsidRPr="0016235B">
        <w:rPr>
          <w:rFonts w:ascii="Candara" w:eastAsia="MS Mincho" w:hAnsi="Candara"/>
          <w:sz w:val="24"/>
          <w:szCs w:val="24"/>
        </w:rPr>
        <w:t>.</w:t>
      </w:r>
    </w:p>
    <w:p w14:paraId="24580AE0" w14:textId="77777777" w:rsidR="005E3175" w:rsidRPr="0016235B" w:rsidRDefault="005E3175" w:rsidP="007F6C00">
      <w:pPr>
        <w:jc w:val="both"/>
        <w:rPr>
          <w:rFonts w:ascii="Candara" w:eastAsia="MS Mincho" w:hAnsi="Candara"/>
          <w:sz w:val="24"/>
          <w:szCs w:val="24"/>
        </w:rPr>
      </w:pPr>
    </w:p>
    <w:p w14:paraId="60A5F29D" w14:textId="77777777" w:rsidR="005E3175" w:rsidRPr="0016235B" w:rsidRDefault="005E3175" w:rsidP="007F6C00">
      <w:pPr>
        <w:jc w:val="both"/>
        <w:rPr>
          <w:rFonts w:ascii="Candara" w:eastAsia="MS Mincho" w:hAnsi="Candara"/>
          <w:sz w:val="24"/>
          <w:szCs w:val="24"/>
        </w:rPr>
      </w:pPr>
    </w:p>
    <w:p w14:paraId="102FEE2C" w14:textId="13E22C87" w:rsidR="00631E0A" w:rsidRPr="0016235B" w:rsidRDefault="00631E0A" w:rsidP="007F6C00">
      <w:pPr>
        <w:jc w:val="both"/>
        <w:rPr>
          <w:rFonts w:ascii="Candara" w:hAnsi="Candara"/>
          <w:b/>
          <w:sz w:val="24"/>
          <w:szCs w:val="24"/>
        </w:rPr>
      </w:pPr>
      <w:r w:rsidRPr="0016235B">
        <w:rPr>
          <w:rFonts w:ascii="Candara" w:hAnsi="Candara"/>
          <w:b/>
          <w:sz w:val="24"/>
          <w:szCs w:val="24"/>
        </w:rPr>
        <w:lastRenderedPageBreak/>
        <w:t xml:space="preserve">Percent of facilities offering ANC services by key </w:t>
      </w:r>
      <w:proofErr w:type="spellStart"/>
      <w:r w:rsidRPr="0016235B">
        <w:rPr>
          <w:rFonts w:ascii="Candara" w:hAnsi="Candara"/>
          <w:b/>
          <w:sz w:val="24"/>
          <w:szCs w:val="24"/>
        </w:rPr>
        <w:t>stratifiers</w:t>
      </w:r>
      <w:proofErr w:type="spellEnd"/>
      <w:r w:rsidR="001E470D" w:rsidRPr="0016235B">
        <w:rPr>
          <w:rFonts w:ascii="Candara" w:hAnsi="Candara"/>
          <w:b/>
          <w:sz w:val="24"/>
          <w:szCs w:val="24"/>
        </w:rPr>
        <w:t xml:space="preserve"> (N=166)</w:t>
      </w:r>
    </w:p>
    <w:p w14:paraId="3D091F37" w14:textId="225418F6" w:rsidR="00E46B92" w:rsidRPr="0016235B" w:rsidRDefault="00E46B92" w:rsidP="0033595F">
      <w:pPr>
        <w:rPr>
          <w:rFonts w:ascii="Candara" w:hAnsi="Candara"/>
          <w:u w:val="single"/>
        </w:rPr>
      </w:pPr>
      <w:r w:rsidRPr="0016235B">
        <w:rPr>
          <w:rFonts w:ascii="Candara" w:hAnsi="Candara"/>
          <w:noProof/>
        </w:rPr>
        <w:drawing>
          <wp:inline distT="0" distB="0" distL="0" distR="0" wp14:anchorId="24B2F866" wp14:editId="7F424B6D">
            <wp:extent cx="5943600" cy="3171825"/>
            <wp:effectExtent l="0" t="0" r="0" b="9525"/>
            <wp:docPr id="1" name="Chart 1">
              <a:extLst xmlns:a="http://schemas.openxmlformats.org/drawingml/2006/main">
                <a:ext uri="{FF2B5EF4-FFF2-40B4-BE49-F238E27FC236}">
                  <a16:creationId xmlns:a16="http://schemas.microsoft.com/office/drawing/2014/main" id="{00000000-0008-0000-1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F1D0059" w14:textId="77777777" w:rsidR="001E470D" w:rsidRPr="0016235B" w:rsidRDefault="001E470D" w:rsidP="0033595F">
      <w:pPr>
        <w:rPr>
          <w:rFonts w:ascii="Candara" w:hAnsi="Candara"/>
          <w:b/>
          <w:sz w:val="24"/>
          <w:szCs w:val="24"/>
        </w:rPr>
      </w:pPr>
    </w:p>
    <w:p w14:paraId="0F4E6A1D" w14:textId="5A62C553" w:rsidR="00631E0A" w:rsidRPr="0016235B" w:rsidRDefault="00631E0A" w:rsidP="0033595F">
      <w:pPr>
        <w:rPr>
          <w:rFonts w:ascii="Candara" w:hAnsi="Candara"/>
          <w:b/>
          <w:sz w:val="24"/>
          <w:szCs w:val="24"/>
        </w:rPr>
      </w:pPr>
      <w:r w:rsidRPr="0016235B">
        <w:rPr>
          <w:rFonts w:ascii="Candara" w:hAnsi="Candara"/>
          <w:b/>
          <w:sz w:val="24"/>
          <w:szCs w:val="24"/>
        </w:rPr>
        <w:t>Services provided to pregnant women as part of routine ANC services</w:t>
      </w:r>
    </w:p>
    <w:p w14:paraId="79149985" w14:textId="15802212" w:rsidR="00E46B92" w:rsidRPr="0016235B" w:rsidRDefault="001E470D" w:rsidP="0033595F">
      <w:pPr>
        <w:rPr>
          <w:rFonts w:ascii="Candara" w:hAnsi="Candara"/>
          <w:u w:val="single"/>
        </w:rPr>
      </w:pPr>
      <w:r w:rsidRPr="0016235B">
        <w:rPr>
          <w:rFonts w:ascii="Candara" w:hAnsi="Candara"/>
          <w:noProof/>
        </w:rPr>
        <w:drawing>
          <wp:inline distT="0" distB="0" distL="0" distR="0" wp14:anchorId="6FA7D48B" wp14:editId="018D9403">
            <wp:extent cx="5419725" cy="2962275"/>
            <wp:effectExtent l="0" t="0" r="9525" b="9525"/>
            <wp:docPr id="121" name="Chart 1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6A3557C" w14:textId="77777777" w:rsidR="001E470D" w:rsidRPr="0016235B" w:rsidRDefault="001E470D" w:rsidP="0033595F">
      <w:pPr>
        <w:rPr>
          <w:rFonts w:ascii="Candara" w:hAnsi="Candara"/>
          <w:b/>
          <w:sz w:val="24"/>
          <w:szCs w:val="24"/>
        </w:rPr>
      </w:pPr>
    </w:p>
    <w:p w14:paraId="03135955" w14:textId="77777777" w:rsidR="001E470D" w:rsidRPr="0016235B" w:rsidRDefault="001E470D" w:rsidP="0033595F">
      <w:pPr>
        <w:rPr>
          <w:rFonts w:ascii="Candara" w:hAnsi="Candara"/>
          <w:b/>
          <w:sz w:val="24"/>
          <w:szCs w:val="24"/>
        </w:rPr>
      </w:pPr>
    </w:p>
    <w:p w14:paraId="59595690" w14:textId="77777777" w:rsidR="005E3175" w:rsidRPr="0016235B" w:rsidRDefault="005E3175" w:rsidP="0033595F">
      <w:pPr>
        <w:rPr>
          <w:rFonts w:ascii="Candara" w:hAnsi="Candara"/>
          <w:b/>
          <w:sz w:val="24"/>
          <w:szCs w:val="24"/>
        </w:rPr>
      </w:pPr>
    </w:p>
    <w:p w14:paraId="535AB0DF" w14:textId="77777777" w:rsidR="005E3175" w:rsidRPr="0016235B" w:rsidRDefault="005E3175" w:rsidP="0033595F">
      <w:pPr>
        <w:rPr>
          <w:rFonts w:ascii="Candara" w:hAnsi="Candara"/>
          <w:b/>
          <w:sz w:val="24"/>
          <w:szCs w:val="24"/>
        </w:rPr>
      </w:pPr>
    </w:p>
    <w:p w14:paraId="59403DB1" w14:textId="77777777" w:rsidR="005E3175" w:rsidRPr="0016235B" w:rsidRDefault="005E3175" w:rsidP="0033595F">
      <w:pPr>
        <w:rPr>
          <w:rFonts w:ascii="Candara" w:hAnsi="Candara"/>
          <w:b/>
          <w:sz w:val="24"/>
          <w:szCs w:val="24"/>
        </w:rPr>
      </w:pPr>
    </w:p>
    <w:p w14:paraId="108B919C" w14:textId="77777777" w:rsidR="005E3175" w:rsidRPr="0016235B" w:rsidRDefault="005E3175" w:rsidP="0033595F">
      <w:pPr>
        <w:rPr>
          <w:rFonts w:ascii="Candara" w:hAnsi="Candara"/>
          <w:b/>
          <w:sz w:val="24"/>
          <w:szCs w:val="24"/>
        </w:rPr>
      </w:pPr>
    </w:p>
    <w:p w14:paraId="555DCD23" w14:textId="77777777" w:rsidR="005E3175" w:rsidRPr="0016235B" w:rsidRDefault="005E3175" w:rsidP="0033595F">
      <w:pPr>
        <w:rPr>
          <w:rFonts w:ascii="Candara" w:hAnsi="Candara"/>
          <w:b/>
          <w:sz w:val="24"/>
          <w:szCs w:val="24"/>
        </w:rPr>
      </w:pPr>
    </w:p>
    <w:p w14:paraId="77A7F687" w14:textId="1DD22AE6" w:rsidR="001F7B28" w:rsidRPr="0016235B" w:rsidRDefault="001F7B28" w:rsidP="0033595F">
      <w:pPr>
        <w:rPr>
          <w:rFonts w:ascii="Candara" w:hAnsi="Candara"/>
          <w:b/>
          <w:sz w:val="24"/>
          <w:szCs w:val="24"/>
        </w:rPr>
      </w:pPr>
      <w:r w:rsidRPr="0016235B">
        <w:rPr>
          <w:rFonts w:ascii="Candara" w:hAnsi="Candara"/>
          <w:b/>
          <w:sz w:val="24"/>
          <w:szCs w:val="24"/>
        </w:rPr>
        <w:lastRenderedPageBreak/>
        <w:t>Availability of documents and staff trained in the last two years</w:t>
      </w:r>
    </w:p>
    <w:p w14:paraId="176875F3" w14:textId="2E2BE545" w:rsidR="001F7B28" w:rsidRPr="0016235B" w:rsidRDefault="00BC7C5A" w:rsidP="0033595F">
      <w:pPr>
        <w:rPr>
          <w:rFonts w:ascii="Candara" w:hAnsi="Candara"/>
          <w:u w:val="single"/>
        </w:rPr>
      </w:pPr>
      <w:r w:rsidRPr="0016235B">
        <w:rPr>
          <w:rFonts w:ascii="Candara" w:hAnsi="Candara"/>
          <w:noProof/>
        </w:rPr>
        <w:drawing>
          <wp:inline distT="0" distB="0" distL="0" distR="0" wp14:anchorId="6507644D" wp14:editId="237BF185">
            <wp:extent cx="5662614" cy="3395663"/>
            <wp:effectExtent l="0" t="0" r="14605" b="14605"/>
            <wp:docPr id="123" name="Chart 1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1867E13" w14:textId="77777777" w:rsidR="001E470D" w:rsidRPr="0016235B" w:rsidRDefault="001E470D" w:rsidP="0033595F">
      <w:pPr>
        <w:rPr>
          <w:rFonts w:ascii="Candara" w:hAnsi="Candara"/>
          <w:u w:val="single"/>
        </w:rPr>
      </w:pPr>
    </w:p>
    <w:tbl>
      <w:tblPr>
        <w:tblStyle w:val="TableGrid"/>
        <w:tblW w:w="9175" w:type="dxa"/>
        <w:tblLook w:val="04A0" w:firstRow="1" w:lastRow="0" w:firstColumn="1" w:lastColumn="0" w:noHBand="0" w:noVBand="1"/>
      </w:tblPr>
      <w:tblGrid>
        <w:gridCol w:w="9175"/>
      </w:tblGrid>
      <w:tr w:rsidR="00D73C6C" w:rsidRPr="0016235B" w14:paraId="7BA77425" w14:textId="77777777" w:rsidTr="00DD7815">
        <w:tc>
          <w:tcPr>
            <w:tcW w:w="9175" w:type="dxa"/>
          </w:tcPr>
          <w:p w14:paraId="11300E76" w14:textId="0C09D378" w:rsidR="00D73C6C" w:rsidRPr="0016235B" w:rsidRDefault="00E30D38" w:rsidP="00E30D38">
            <w:pPr>
              <w:tabs>
                <w:tab w:val="left" w:pos="2430"/>
              </w:tabs>
              <w:rPr>
                <w:rFonts w:ascii="Candara" w:hAnsi="Candara"/>
                <w:b/>
              </w:rPr>
            </w:pPr>
            <w:r w:rsidRPr="0016235B">
              <w:rPr>
                <w:rFonts w:ascii="Candara" w:hAnsi="Candara"/>
                <w:b/>
              </w:rPr>
              <w:t xml:space="preserve">Key findings </w:t>
            </w:r>
          </w:p>
        </w:tc>
      </w:tr>
      <w:tr w:rsidR="00D73C6C" w:rsidRPr="0016235B" w14:paraId="726BD83D" w14:textId="77777777" w:rsidTr="00DD7815">
        <w:tc>
          <w:tcPr>
            <w:tcW w:w="9175" w:type="dxa"/>
          </w:tcPr>
          <w:p w14:paraId="00BE24A0" w14:textId="6F0B888D" w:rsidR="00A24EE1" w:rsidRPr="0016235B" w:rsidRDefault="00D73C6C" w:rsidP="005722F2">
            <w:pPr>
              <w:pStyle w:val="ListParagraph"/>
              <w:numPr>
                <w:ilvl w:val="0"/>
                <w:numId w:val="5"/>
              </w:numPr>
              <w:jc w:val="both"/>
              <w:rPr>
                <w:rFonts w:ascii="Candara" w:hAnsi="Candara"/>
              </w:rPr>
            </w:pPr>
            <w:r w:rsidRPr="0016235B">
              <w:rPr>
                <w:rFonts w:ascii="Candara" w:hAnsi="Candara"/>
              </w:rPr>
              <w:t>Nationally, 73% of the facilities provide ANC services</w:t>
            </w:r>
            <w:r w:rsidR="00435CF1" w:rsidRPr="0016235B">
              <w:rPr>
                <w:rFonts w:ascii="Candara" w:hAnsi="Candara"/>
              </w:rPr>
              <w:t xml:space="preserve">, </w:t>
            </w:r>
            <w:r w:rsidR="001E470D" w:rsidRPr="0016235B">
              <w:rPr>
                <w:rFonts w:ascii="Candara" w:hAnsi="Candara"/>
              </w:rPr>
              <w:t xml:space="preserve">with all </w:t>
            </w:r>
            <w:r w:rsidR="00435CF1" w:rsidRPr="0016235B">
              <w:rPr>
                <w:rFonts w:ascii="Candara" w:hAnsi="Candara"/>
              </w:rPr>
              <w:t xml:space="preserve">Regional Hospitals (100%) </w:t>
            </w:r>
            <w:r w:rsidR="00A24EE1" w:rsidRPr="0016235B">
              <w:rPr>
                <w:rFonts w:ascii="Candara" w:hAnsi="Candara"/>
              </w:rPr>
              <w:t>providing the service and least being HC IIs at 64%</w:t>
            </w:r>
            <w:r w:rsidR="00435CF1" w:rsidRPr="0016235B">
              <w:rPr>
                <w:rFonts w:ascii="Candara" w:hAnsi="Candara"/>
              </w:rPr>
              <w:t xml:space="preserve"> </w:t>
            </w:r>
          </w:p>
          <w:p w14:paraId="79FA5F90" w14:textId="2251BE79" w:rsidR="00435CF1" w:rsidRPr="0016235B" w:rsidRDefault="005A4E1D" w:rsidP="005722F2">
            <w:pPr>
              <w:pStyle w:val="ListParagraph"/>
              <w:numPr>
                <w:ilvl w:val="0"/>
                <w:numId w:val="5"/>
              </w:numPr>
              <w:jc w:val="both"/>
              <w:rPr>
                <w:rFonts w:ascii="Candara" w:hAnsi="Candara"/>
              </w:rPr>
            </w:pPr>
            <w:r w:rsidRPr="0016235B">
              <w:rPr>
                <w:rFonts w:ascii="Candara" w:hAnsi="Candara"/>
              </w:rPr>
              <w:t xml:space="preserve">Iron supplement and intermittent preventive treatment </w:t>
            </w:r>
            <w:r w:rsidR="00CE0894" w:rsidRPr="0016235B">
              <w:rPr>
                <w:rFonts w:ascii="Candara" w:hAnsi="Candara"/>
              </w:rPr>
              <w:t xml:space="preserve">are offered in </w:t>
            </w:r>
            <w:r w:rsidR="00D73C6C" w:rsidRPr="0016235B">
              <w:rPr>
                <w:rFonts w:ascii="Candara" w:hAnsi="Candara"/>
              </w:rPr>
              <w:t xml:space="preserve">97% </w:t>
            </w:r>
            <w:r w:rsidRPr="0016235B">
              <w:rPr>
                <w:rFonts w:ascii="Candara" w:hAnsi="Candara"/>
              </w:rPr>
              <w:t>of facilities</w:t>
            </w:r>
            <w:r w:rsidR="00D73C6C" w:rsidRPr="0016235B">
              <w:rPr>
                <w:rFonts w:ascii="Candara" w:hAnsi="Candara"/>
              </w:rPr>
              <w:t>, 9</w:t>
            </w:r>
            <w:r w:rsidR="00CE0894" w:rsidRPr="0016235B">
              <w:rPr>
                <w:rFonts w:ascii="Candara" w:hAnsi="Candara"/>
              </w:rPr>
              <w:t>1</w:t>
            </w:r>
            <w:r w:rsidR="00D73C6C" w:rsidRPr="0016235B">
              <w:rPr>
                <w:rFonts w:ascii="Candara" w:hAnsi="Candara"/>
              </w:rPr>
              <w:t xml:space="preserve">% </w:t>
            </w:r>
            <w:r w:rsidR="00CE0894" w:rsidRPr="0016235B">
              <w:rPr>
                <w:rFonts w:ascii="Candara" w:hAnsi="Candara"/>
              </w:rPr>
              <w:t xml:space="preserve">offer </w:t>
            </w:r>
            <w:r w:rsidR="00D73C6C" w:rsidRPr="0016235B">
              <w:rPr>
                <w:rFonts w:ascii="Candara" w:hAnsi="Candara"/>
              </w:rPr>
              <w:t>Folic acid</w:t>
            </w:r>
            <w:r w:rsidR="00CE0894" w:rsidRPr="0016235B">
              <w:rPr>
                <w:rFonts w:ascii="Candara" w:hAnsi="Candara"/>
              </w:rPr>
              <w:t xml:space="preserve"> a</w:t>
            </w:r>
            <w:r w:rsidR="00D73C6C" w:rsidRPr="0016235B">
              <w:rPr>
                <w:rFonts w:ascii="Candara" w:hAnsi="Candara"/>
              </w:rPr>
              <w:t xml:space="preserve">nd 92% </w:t>
            </w:r>
            <w:r w:rsidR="00CE0894" w:rsidRPr="0016235B">
              <w:rPr>
                <w:rFonts w:ascii="Candara" w:hAnsi="Candara"/>
              </w:rPr>
              <w:t xml:space="preserve">offer </w:t>
            </w:r>
            <w:r w:rsidR="00D73C6C" w:rsidRPr="0016235B">
              <w:rPr>
                <w:rFonts w:ascii="Candara" w:hAnsi="Candara"/>
              </w:rPr>
              <w:t>tetanus toxoid</w:t>
            </w:r>
            <w:r w:rsidR="00435CF1" w:rsidRPr="0016235B">
              <w:rPr>
                <w:rFonts w:ascii="Candara" w:hAnsi="Candara"/>
              </w:rPr>
              <w:t xml:space="preserve"> </w:t>
            </w:r>
          </w:p>
          <w:p w14:paraId="0EEBADA0" w14:textId="27B04D47" w:rsidR="00D73C6C" w:rsidRPr="0016235B" w:rsidRDefault="00D73C6C" w:rsidP="005722F2">
            <w:pPr>
              <w:pStyle w:val="ListParagraph"/>
              <w:numPr>
                <w:ilvl w:val="0"/>
                <w:numId w:val="5"/>
              </w:numPr>
              <w:jc w:val="both"/>
              <w:rPr>
                <w:rFonts w:ascii="Candara" w:hAnsi="Candara"/>
              </w:rPr>
            </w:pPr>
            <w:r w:rsidRPr="0016235B">
              <w:rPr>
                <w:rFonts w:ascii="Candara" w:hAnsi="Candara"/>
              </w:rPr>
              <w:t>8</w:t>
            </w:r>
            <w:r w:rsidR="00CE0894" w:rsidRPr="0016235B">
              <w:rPr>
                <w:rFonts w:ascii="Candara" w:hAnsi="Candara"/>
              </w:rPr>
              <w:t>1</w:t>
            </w:r>
            <w:r w:rsidRPr="0016235B">
              <w:rPr>
                <w:rFonts w:ascii="Candara" w:hAnsi="Candara"/>
              </w:rPr>
              <w:t xml:space="preserve">% monitor </w:t>
            </w:r>
            <w:r w:rsidR="00F9715F" w:rsidRPr="0016235B">
              <w:rPr>
                <w:rFonts w:ascii="Candara" w:hAnsi="Candara"/>
              </w:rPr>
              <w:t xml:space="preserve">pregnancy </w:t>
            </w:r>
            <w:r w:rsidRPr="0016235B">
              <w:rPr>
                <w:rFonts w:ascii="Candara" w:hAnsi="Candara"/>
              </w:rPr>
              <w:t xml:space="preserve">for hypertensive disorders </w:t>
            </w:r>
          </w:p>
          <w:p w14:paraId="7F906AEF" w14:textId="69C536CA" w:rsidR="004C71B8" w:rsidRPr="0016235B" w:rsidRDefault="00BC7C5A" w:rsidP="005722F2">
            <w:pPr>
              <w:pStyle w:val="ListParagraph"/>
              <w:numPr>
                <w:ilvl w:val="0"/>
                <w:numId w:val="5"/>
              </w:numPr>
              <w:jc w:val="both"/>
              <w:rPr>
                <w:rFonts w:ascii="Candara" w:hAnsi="Candara"/>
              </w:rPr>
            </w:pPr>
            <w:r w:rsidRPr="0016235B">
              <w:rPr>
                <w:rFonts w:ascii="Candara" w:hAnsi="Candara"/>
              </w:rPr>
              <w:t xml:space="preserve">Providers of ANC services </w:t>
            </w:r>
            <w:r w:rsidR="003840FF" w:rsidRPr="0016235B">
              <w:rPr>
                <w:rFonts w:ascii="Candara" w:hAnsi="Candara"/>
              </w:rPr>
              <w:t>in</w:t>
            </w:r>
            <w:r w:rsidR="004C71B8" w:rsidRPr="0016235B">
              <w:rPr>
                <w:rFonts w:ascii="Candara" w:hAnsi="Candara"/>
              </w:rPr>
              <w:t xml:space="preserve"> 44% and 51% of the facilities had received ANC and IPT</w:t>
            </w:r>
            <w:r w:rsidRPr="0016235B">
              <w:rPr>
                <w:rFonts w:ascii="Candara" w:hAnsi="Candara"/>
              </w:rPr>
              <w:t>p</w:t>
            </w:r>
            <w:r w:rsidR="004C71B8" w:rsidRPr="0016235B">
              <w:rPr>
                <w:rFonts w:ascii="Candara" w:hAnsi="Candara"/>
              </w:rPr>
              <w:t xml:space="preserve"> training</w:t>
            </w:r>
            <w:r w:rsidR="005C38B7" w:rsidRPr="0016235B">
              <w:rPr>
                <w:rFonts w:ascii="Candara" w:hAnsi="Candara"/>
              </w:rPr>
              <w:t xml:space="preserve"> in the last 2 years</w:t>
            </w:r>
            <w:r w:rsidR="004C71B8" w:rsidRPr="0016235B">
              <w:rPr>
                <w:rFonts w:ascii="Candara" w:hAnsi="Candara"/>
              </w:rPr>
              <w:t>, respectively</w:t>
            </w:r>
          </w:p>
          <w:p w14:paraId="027083E8" w14:textId="50709579" w:rsidR="00D73C6C" w:rsidRPr="0016235B" w:rsidRDefault="001819B8" w:rsidP="005722F2">
            <w:pPr>
              <w:pStyle w:val="ListParagraph"/>
              <w:numPr>
                <w:ilvl w:val="0"/>
                <w:numId w:val="5"/>
              </w:numPr>
              <w:jc w:val="both"/>
              <w:rPr>
                <w:rFonts w:ascii="Candara" w:hAnsi="Candara"/>
              </w:rPr>
            </w:pPr>
            <w:r w:rsidRPr="0016235B">
              <w:rPr>
                <w:rFonts w:ascii="Candara" w:hAnsi="Candara"/>
              </w:rPr>
              <w:t xml:space="preserve">55% of the facilities had ANC check list or job Aids </w:t>
            </w:r>
            <w:r w:rsidR="003840FF" w:rsidRPr="0016235B">
              <w:rPr>
                <w:rFonts w:ascii="Candara" w:hAnsi="Candara"/>
              </w:rPr>
              <w:t>while IPTp</w:t>
            </w:r>
            <w:r w:rsidRPr="0016235B">
              <w:rPr>
                <w:rFonts w:ascii="Candara" w:hAnsi="Candara"/>
              </w:rPr>
              <w:t xml:space="preserve"> Check List or Job Aids </w:t>
            </w:r>
            <w:r w:rsidR="003840FF" w:rsidRPr="0016235B">
              <w:rPr>
                <w:rFonts w:ascii="Candara" w:hAnsi="Candara"/>
              </w:rPr>
              <w:t>were available</w:t>
            </w:r>
            <w:r w:rsidRPr="0016235B">
              <w:rPr>
                <w:rFonts w:ascii="Candara" w:hAnsi="Candara"/>
              </w:rPr>
              <w:t xml:space="preserve"> in 50% of the facilities</w:t>
            </w:r>
          </w:p>
          <w:p w14:paraId="31811846" w14:textId="62EF2A17" w:rsidR="00D73C6C" w:rsidRPr="0016235B" w:rsidRDefault="001819B8" w:rsidP="005722F2">
            <w:pPr>
              <w:pStyle w:val="ListParagraph"/>
              <w:numPr>
                <w:ilvl w:val="0"/>
                <w:numId w:val="5"/>
              </w:numPr>
              <w:jc w:val="both"/>
              <w:rPr>
                <w:rFonts w:ascii="Candara" w:hAnsi="Candara"/>
              </w:rPr>
            </w:pPr>
            <w:r w:rsidRPr="0016235B">
              <w:rPr>
                <w:rFonts w:ascii="Candara" w:hAnsi="Candara"/>
              </w:rPr>
              <w:t>More</w:t>
            </w:r>
            <w:r w:rsidR="00435CF1" w:rsidRPr="0016235B">
              <w:rPr>
                <w:rFonts w:ascii="Candara" w:hAnsi="Candara"/>
              </w:rPr>
              <w:t xml:space="preserve"> public facilities (86%) </w:t>
            </w:r>
            <w:r w:rsidRPr="0016235B">
              <w:rPr>
                <w:rFonts w:ascii="Candara" w:hAnsi="Candara"/>
              </w:rPr>
              <w:t>than the Private facilities (6</w:t>
            </w:r>
            <w:r w:rsidR="00DD7815" w:rsidRPr="0016235B">
              <w:rPr>
                <w:rFonts w:ascii="Candara" w:hAnsi="Candara"/>
              </w:rPr>
              <w:t>2</w:t>
            </w:r>
            <w:r w:rsidRPr="0016235B">
              <w:rPr>
                <w:rFonts w:ascii="Candara" w:hAnsi="Candara"/>
              </w:rPr>
              <w:t>%) offer ANC services</w:t>
            </w:r>
          </w:p>
          <w:p w14:paraId="09FC6221" w14:textId="0C2E971D" w:rsidR="00435CF1" w:rsidRPr="0016235B" w:rsidRDefault="00DD7815" w:rsidP="005722F2">
            <w:pPr>
              <w:pStyle w:val="ListParagraph"/>
              <w:numPr>
                <w:ilvl w:val="0"/>
                <w:numId w:val="5"/>
              </w:numPr>
              <w:jc w:val="both"/>
              <w:rPr>
                <w:rFonts w:ascii="Candara" w:hAnsi="Candara"/>
              </w:rPr>
            </w:pPr>
            <w:r w:rsidRPr="0016235B">
              <w:rPr>
                <w:rFonts w:ascii="Candara" w:hAnsi="Candara"/>
              </w:rPr>
              <w:t>More r</w:t>
            </w:r>
            <w:r w:rsidR="00435CF1" w:rsidRPr="0016235B">
              <w:rPr>
                <w:rFonts w:ascii="Candara" w:hAnsi="Candara"/>
              </w:rPr>
              <w:t xml:space="preserve">ural based facilities (86%) </w:t>
            </w:r>
            <w:r w:rsidRPr="0016235B">
              <w:rPr>
                <w:rFonts w:ascii="Candara" w:hAnsi="Candara"/>
              </w:rPr>
              <w:t xml:space="preserve">than the Urban based facilities (56%) </w:t>
            </w:r>
            <w:r w:rsidR="00435CF1" w:rsidRPr="0016235B">
              <w:rPr>
                <w:rFonts w:ascii="Candara" w:hAnsi="Candara"/>
              </w:rPr>
              <w:t xml:space="preserve">offer ANC services </w:t>
            </w:r>
          </w:p>
          <w:p w14:paraId="621FA0E2" w14:textId="17573388" w:rsidR="00D73C6C" w:rsidRPr="0016235B" w:rsidRDefault="00DD7815" w:rsidP="005722F2">
            <w:pPr>
              <w:pStyle w:val="ListParagraph"/>
              <w:numPr>
                <w:ilvl w:val="0"/>
                <w:numId w:val="5"/>
              </w:numPr>
              <w:jc w:val="both"/>
              <w:rPr>
                <w:rFonts w:ascii="Candara" w:hAnsi="Candara"/>
              </w:rPr>
            </w:pPr>
            <w:r w:rsidRPr="0016235B">
              <w:rPr>
                <w:rFonts w:ascii="Candara" w:hAnsi="Candara"/>
              </w:rPr>
              <w:t xml:space="preserve">All facilities in </w:t>
            </w:r>
            <w:r w:rsidR="00435CF1" w:rsidRPr="0016235B">
              <w:rPr>
                <w:rFonts w:ascii="Candara" w:hAnsi="Candara"/>
              </w:rPr>
              <w:t xml:space="preserve">Karamoja and </w:t>
            </w:r>
            <w:r w:rsidRPr="0016235B">
              <w:rPr>
                <w:rFonts w:ascii="Candara" w:hAnsi="Candara"/>
              </w:rPr>
              <w:t>M</w:t>
            </w:r>
            <w:r w:rsidR="00435CF1" w:rsidRPr="0016235B">
              <w:rPr>
                <w:rFonts w:ascii="Candara" w:hAnsi="Candara"/>
              </w:rPr>
              <w:t>id-</w:t>
            </w:r>
            <w:r w:rsidRPr="0016235B">
              <w:rPr>
                <w:rFonts w:ascii="Candara" w:hAnsi="Candara"/>
              </w:rPr>
              <w:t>W</w:t>
            </w:r>
            <w:r w:rsidR="00435CF1" w:rsidRPr="0016235B">
              <w:rPr>
                <w:rFonts w:ascii="Candara" w:hAnsi="Candara"/>
              </w:rPr>
              <w:t>est region</w:t>
            </w:r>
            <w:r w:rsidRPr="0016235B">
              <w:rPr>
                <w:rFonts w:ascii="Candara" w:hAnsi="Candara"/>
              </w:rPr>
              <w:t>s</w:t>
            </w:r>
            <w:r w:rsidR="00201404" w:rsidRPr="0016235B">
              <w:rPr>
                <w:rFonts w:ascii="Candara" w:hAnsi="Candara"/>
              </w:rPr>
              <w:t xml:space="preserve"> have ANC services while </w:t>
            </w:r>
            <w:r w:rsidRPr="0016235B">
              <w:rPr>
                <w:rFonts w:ascii="Candara" w:hAnsi="Candara"/>
              </w:rPr>
              <w:t xml:space="preserve">only 48% of the facilities in Kampala offer ANC services </w:t>
            </w:r>
          </w:p>
        </w:tc>
      </w:tr>
    </w:tbl>
    <w:p w14:paraId="1C1B4562" w14:textId="77777777" w:rsidR="00563947" w:rsidRPr="0016235B" w:rsidRDefault="00563947" w:rsidP="00563947">
      <w:pPr>
        <w:spacing w:after="0" w:line="240" w:lineRule="auto"/>
        <w:rPr>
          <w:rFonts w:ascii="Candara" w:hAnsi="Candara"/>
          <w:sz w:val="24"/>
          <w:szCs w:val="24"/>
        </w:rPr>
      </w:pPr>
    </w:p>
    <w:p w14:paraId="41F0E854" w14:textId="77777777" w:rsidR="00563947" w:rsidRPr="0016235B" w:rsidRDefault="00563947" w:rsidP="00563947">
      <w:pPr>
        <w:spacing w:after="0" w:line="240" w:lineRule="auto"/>
        <w:rPr>
          <w:rFonts w:ascii="Candara" w:hAnsi="Candara"/>
          <w:sz w:val="24"/>
          <w:szCs w:val="24"/>
        </w:rPr>
      </w:pPr>
    </w:p>
    <w:p w14:paraId="0D325083" w14:textId="77777777" w:rsidR="00EA7754" w:rsidRPr="0016235B" w:rsidRDefault="00EA7754" w:rsidP="00563947">
      <w:pPr>
        <w:spacing w:after="0" w:line="240" w:lineRule="auto"/>
        <w:rPr>
          <w:rFonts w:ascii="Candara" w:hAnsi="Candara"/>
          <w:sz w:val="24"/>
          <w:szCs w:val="24"/>
        </w:rPr>
      </w:pPr>
    </w:p>
    <w:p w14:paraId="261684E8" w14:textId="3914340A" w:rsidR="0033595F" w:rsidRPr="0016235B" w:rsidRDefault="00563947" w:rsidP="005722F2">
      <w:pPr>
        <w:pStyle w:val="Heading2"/>
        <w:numPr>
          <w:ilvl w:val="1"/>
          <w:numId w:val="25"/>
        </w:numPr>
        <w:rPr>
          <w:rFonts w:ascii="Candara" w:hAnsi="Candara"/>
          <w:b/>
          <w:sz w:val="28"/>
          <w:szCs w:val="28"/>
        </w:rPr>
      </w:pPr>
      <w:bookmarkStart w:id="30" w:name="_Toc11494043"/>
      <w:r w:rsidRPr="0016235B">
        <w:rPr>
          <w:rFonts w:ascii="Candara" w:hAnsi="Candara"/>
          <w:b/>
          <w:sz w:val="28"/>
          <w:szCs w:val="28"/>
        </w:rPr>
        <w:t>Elimination of Mother-To-Child Transmission of HIV (</w:t>
      </w:r>
      <w:proofErr w:type="spellStart"/>
      <w:r w:rsidRPr="0016235B">
        <w:rPr>
          <w:rFonts w:ascii="Candara" w:hAnsi="Candara"/>
          <w:b/>
          <w:sz w:val="28"/>
          <w:szCs w:val="28"/>
        </w:rPr>
        <w:t>eMTCT</w:t>
      </w:r>
      <w:proofErr w:type="spellEnd"/>
      <w:r w:rsidRPr="0016235B">
        <w:rPr>
          <w:rFonts w:ascii="Candara" w:hAnsi="Candara"/>
          <w:b/>
          <w:sz w:val="28"/>
          <w:szCs w:val="28"/>
        </w:rPr>
        <w:t>)</w:t>
      </w:r>
      <w:bookmarkEnd w:id="30"/>
    </w:p>
    <w:p w14:paraId="571D2C3D" w14:textId="77777777" w:rsidR="00563947" w:rsidRPr="0016235B" w:rsidRDefault="00563947" w:rsidP="00DF292E">
      <w:pPr>
        <w:spacing w:after="0"/>
        <w:rPr>
          <w:rFonts w:ascii="Candara" w:hAnsi="Candara" w:cs="Arial"/>
          <w:szCs w:val="20"/>
          <w:lang w:val="en-GB"/>
        </w:rPr>
      </w:pPr>
    </w:p>
    <w:p w14:paraId="627E51CD" w14:textId="167F3002" w:rsidR="0033595F" w:rsidRPr="0016235B" w:rsidRDefault="00EF2C98" w:rsidP="00EA7754">
      <w:pPr>
        <w:spacing w:after="0"/>
        <w:jc w:val="both"/>
        <w:rPr>
          <w:rFonts w:ascii="Candara" w:eastAsia="MS Mincho" w:hAnsi="Candara"/>
          <w:sz w:val="24"/>
          <w:szCs w:val="24"/>
        </w:rPr>
      </w:pPr>
      <w:r w:rsidRPr="0016235B">
        <w:rPr>
          <w:rFonts w:ascii="Candara" w:eastAsia="MS Mincho" w:hAnsi="Candara"/>
          <w:sz w:val="24"/>
          <w:szCs w:val="24"/>
        </w:rPr>
        <w:t>The survey explored the availability of e-MTCT services</w:t>
      </w:r>
      <w:r w:rsidR="00FF1B54" w:rsidRPr="0016235B">
        <w:rPr>
          <w:rFonts w:ascii="Candara" w:eastAsia="MS Mincho" w:hAnsi="Candara"/>
          <w:sz w:val="24"/>
          <w:szCs w:val="24"/>
        </w:rPr>
        <w:t xml:space="preserve"> at the facility level</w:t>
      </w:r>
      <w:r w:rsidR="00EA7754" w:rsidRPr="0016235B">
        <w:rPr>
          <w:rFonts w:ascii="Candara" w:eastAsia="MS Mincho" w:hAnsi="Candara"/>
          <w:sz w:val="24"/>
          <w:szCs w:val="24"/>
        </w:rPr>
        <w:t>,</w:t>
      </w:r>
      <w:r w:rsidRPr="0016235B">
        <w:rPr>
          <w:rFonts w:ascii="Candara" w:eastAsia="MS Mincho" w:hAnsi="Candara"/>
          <w:sz w:val="24"/>
          <w:szCs w:val="24"/>
        </w:rPr>
        <w:t xml:space="preserve"> </w:t>
      </w:r>
      <w:r w:rsidR="00FF1B54" w:rsidRPr="0016235B">
        <w:rPr>
          <w:rFonts w:ascii="Candara" w:eastAsia="MS Mincho" w:hAnsi="Candara"/>
          <w:sz w:val="24"/>
          <w:szCs w:val="24"/>
        </w:rPr>
        <w:t>the capacity to provide services as well as the quality of the setting where services are provided. Presence of reference guideline were also examined for the provision of e-MTCT</w:t>
      </w:r>
      <w:r w:rsidR="00EA7754" w:rsidRPr="0016235B">
        <w:rPr>
          <w:rFonts w:ascii="Candara" w:eastAsia="MS Mincho" w:hAnsi="Candara"/>
          <w:sz w:val="24"/>
          <w:szCs w:val="24"/>
        </w:rPr>
        <w:t>.</w:t>
      </w:r>
    </w:p>
    <w:p w14:paraId="1536FA60" w14:textId="77777777" w:rsidR="00563947" w:rsidRPr="0016235B" w:rsidRDefault="00563947" w:rsidP="0033595F">
      <w:pPr>
        <w:rPr>
          <w:rFonts w:ascii="Candara" w:hAnsi="Candara"/>
          <w:b/>
          <w:sz w:val="24"/>
          <w:szCs w:val="24"/>
        </w:rPr>
      </w:pPr>
    </w:p>
    <w:p w14:paraId="79300306" w14:textId="77777777" w:rsidR="00563947" w:rsidRPr="0016235B" w:rsidRDefault="00563947" w:rsidP="0033595F">
      <w:pPr>
        <w:rPr>
          <w:rFonts w:ascii="Candara" w:hAnsi="Candara"/>
          <w:b/>
          <w:sz w:val="24"/>
          <w:szCs w:val="24"/>
        </w:rPr>
      </w:pPr>
    </w:p>
    <w:p w14:paraId="5E47771F" w14:textId="77777777" w:rsidR="00EA7754" w:rsidRPr="0016235B" w:rsidRDefault="00EA7754" w:rsidP="0033595F">
      <w:pPr>
        <w:rPr>
          <w:rFonts w:ascii="Candara" w:hAnsi="Candara"/>
          <w:b/>
          <w:sz w:val="24"/>
          <w:szCs w:val="24"/>
        </w:rPr>
      </w:pPr>
    </w:p>
    <w:p w14:paraId="0A938BCA" w14:textId="77777777" w:rsidR="005E3175" w:rsidRPr="0016235B" w:rsidRDefault="005E3175" w:rsidP="0033595F">
      <w:pPr>
        <w:rPr>
          <w:rFonts w:ascii="Candara" w:hAnsi="Candara"/>
          <w:b/>
          <w:sz w:val="24"/>
          <w:szCs w:val="24"/>
        </w:rPr>
      </w:pPr>
    </w:p>
    <w:p w14:paraId="089B7054" w14:textId="591FE4BB" w:rsidR="00DF292E" w:rsidRPr="0016235B" w:rsidRDefault="00DF292E" w:rsidP="0033595F">
      <w:pPr>
        <w:rPr>
          <w:rFonts w:ascii="Candara" w:hAnsi="Candara"/>
          <w:b/>
          <w:sz w:val="24"/>
          <w:szCs w:val="24"/>
        </w:rPr>
      </w:pPr>
      <w:r w:rsidRPr="0016235B">
        <w:rPr>
          <w:rFonts w:ascii="Candara" w:hAnsi="Candara"/>
          <w:b/>
          <w:sz w:val="24"/>
          <w:szCs w:val="24"/>
        </w:rPr>
        <w:lastRenderedPageBreak/>
        <w:t>e-MTCT services available to HIV positive pregnant women at facility</w:t>
      </w:r>
    </w:p>
    <w:p w14:paraId="3796B965" w14:textId="6826902D" w:rsidR="00DF292E" w:rsidRPr="0016235B" w:rsidRDefault="00EC1CE7" w:rsidP="0033595F">
      <w:pPr>
        <w:rPr>
          <w:rFonts w:ascii="Candara" w:hAnsi="Candara"/>
        </w:rPr>
      </w:pPr>
      <w:r w:rsidRPr="0016235B">
        <w:rPr>
          <w:rFonts w:ascii="Candara" w:hAnsi="Candara"/>
          <w:noProof/>
        </w:rPr>
        <w:drawing>
          <wp:inline distT="0" distB="0" distL="0" distR="0" wp14:anchorId="2A75F214" wp14:editId="44E908CE">
            <wp:extent cx="5731510" cy="2886075"/>
            <wp:effectExtent l="0" t="0" r="2540" b="9525"/>
            <wp:docPr id="125" name="Chart 1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31518B7" w14:textId="4CBA1502" w:rsidR="0033595F" w:rsidRPr="0016235B" w:rsidRDefault="00DF292E" w:rsidP="0033595F">
      <w:pPr>
        <w:rPr>
          <w:rFonts w:ascii="Candara" w:hAnsi="Candara"/>
          <w:b/>
          <w:sz w:val="24"/>
          <w:szCs w:val="24"/>
        </w:rPr>
      </w:pPr>
      <w:r w:rsidRPr="0016235B">
        <w:rPr>
          <w:rFonts w:ascii="Candara" w:hAnsi="Candara"/>
          <w:b/>
          <w:sz w:val="24"/>
          <w:szCs w:val="24"/>
        </w:rPr>
        <w:t xml:space="preserve">Percent of facilities offering e-MTCT services by the key </w:t>
      </w:r>
      <w:proofErr w:type="spellStart"/>
      <w:r w:rsidRPr="0016235B">
        <w:rPr>
          <w:rFonts w:ascii="Candara" w:hAnsi="Candara"/>
          <w:b/>
          <w:sz w:val="24"/>
          <w:szCs w:val="24"/>
        </w:rPr>
        <w:t>stratifiers</w:t>
      </w:r>
      <w:proofErr w:type="spellEnd"/>
    </w:p>
    <w:p w14:paraId="7A0AECE6" w14:textId="77777777" w:rsidR="0033595F" w:rsidRPr="0016235B" w:rsidRDefault="00DF292E" w:rsidP="0033595F">
      <w:pPr>
        <w:rPr>
          <w:rFonts w:ascii="Candara" w:hAnsi="Candara"/>
        </w:rPr>
      </w:pPr>
      <w:r w:rsidRPr="0016235B">
        <w:rPr>
          <w:rFonts w:ascii="Candara" w:hAnsi="Candara"/>
          <w:noProof/>
        </w:rPr>
        <w:drawing>
          <wp:inline distT="0" distB="0" distL="0" distR="0" wp14:anchorId="0BF25453" wp14:editId="4ABC9069">
            <wp:extent cx="5943600" cy="3168015"/>
            <wp:effectExtent l="0" t="0" r="0" b="13335"/>
            <wp:docPr id="20" name="Chart 20">
              <a:extLst xmlns:a="http://schemas.openxmlformats.org/drawingml/2006/main">
                <a:ext uri="{FF2B5EF4-FFF2-40B4-BE49-F238E27FC236}">
                  <a16:creationId xmlns:a16="http://schemas.microsoft.com/office/drawing/2014/main" id="{00000000-0008-0000-1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bl>
      <w:tblPr>
        <w:tblStyle w:val="TableGrid"/>
        <w:tblW w:w="9265" w:type="dxa"/>
        <w:tblLook w:val="04A0" w:firstRow="1" w:lastRow="0" w:firstColumn="1" w:lastColumn="0" w:noHBand="0" w:noVBand="1"/>
      </w:tblPr>
      <w:tblGrid>
        <w:gridCol w:w="9265"/>
      </w:tblGrid>
      <w:tr w:rsidR="00201404" w:rsidRPr="0016235B" w14:paraId="291CC836" w14:textId="77777777" w:rsidTr="00EC1CE7">
        <w:tc>
          <w:tcPr>
            <w:tcW w:w="9265" w:type="dxa"/>
          </w:tcPr>
          <w:p w14:paraId="5D1C7E0E" w14:textId="537A4276" w:rsidR="00201404" w:rsidRPr="0016235B" w:rsidRDefault="00201404" w:rsidP="0033595F">
            <w:pPr>
              <w:rPr>
                <w:rFonts w:ascii="Candara" w:hAnsi="Candara"/>
                <w:b/>
              </w:rPr>
            </w:pPr>
            <w:r w:rsidRPr="0016235B">
              <w:rPr>
                <w:rFonts w:ascii="Candara" w:hAnsi="Candara"/>
                <w:b/>
              </w:rPr>
              <w:t>Key Findings</w:t>
            </w:r>
          </w:p>
        </w:tc>
      </w:tr>
      <w:tr w:rsidR="00201404" w:rsidRPr="0016235B" w14:paraId="4BD819A7" w14:textId="77777777" w:rsidTr="00EC1CE7">
        <w:tc>
          <w:tcPr>
            <w:tcW w:w="9265" w:type="dxa"/>
          </w:tcPr>
          <w:p w14:paraId="6A10DC6B" w14:textId="77777777" w:rsidR="00EA7754" w:rsidRPr="0016235B" w:rsidRDefault="00201404" w:rsidP="005722F2">
            <w:pPr>
              <w:pStyle w:val="ListParagraph"/>
              <w:numPr>
                <w:ilvl w:val="0"/>
                <w:numId w:val="6"/>
              </w:numPr>
              <w:jc w:val="both"/>
              <w:rPr>
                <w:rFonts w:ascii="Candara" w:hAnsi="Candara"/>
              </w:rPr>
            </w:pPr>
            <w:r w:rsidRPr="0016235B">
              <w:rPr>
                <w:rFonts w:ascii="Candara" w:hAnsi="Candara"/>
              </w:rPr>
              <w:t>54% of the facilities</w:t>
            </w:r>
            <w:r w:rsidR="004F39BA" w:rsidRPr="0016235B">
              <w:rPr>
                <w:rFonts w:ascii="Candara" w:hAnsi="Candara"/>
              </w:rPr>
              <w:t xml:space="preserve"> assessed</w:t>
            </w:r>
            <w:r w:rsidRPr="0016235B">
              <w:rPr>
                <w:rFonts w:ascii="Candara" w:hAnsi="Candara"/>
              </w:rPr>
              <w:t xml:space="preserve"> </w:t>
            </w:r>
            <w:r w:rsidR="00EA7754" w:rsidRPr="0016235B">
              <w:rPr>
                <w:rFonts w:ascii="Candara" w:hAnsi="Candara"/>
              </w:rPr>
              <w:t>offered</w:t>
            </w:r>
            <w:r w:rsidRPr="0016235B">
              <w:rPr>
                <w:rFonts w:ascii="Candara" w:hAnsi="Candara"/>
              </w:rPr>
              <w:t xml:space="preserve"> </w:t>
            </w:r>
            <w:proofErr w:type="spellStart"/>
            <w:r w:rsidRPr="0016235B">
              <w:rPr>
                <w:rFonts w:ascii="Candara" w:hAnsi="Candara"/>
              </w:rPr>
              <w:t>eMTCT</w:t>
            </w:r>
            <w:proofErr w:type="spellEnd"/>
            <w:r w:rsidRPr="0016235B">
              <w:rPr>
                <w:rFonts w:ascii="Candara" w:hAnsi="Candara"/>
              </w:rPr>
              <w:t xml:space="preserve"> services to HIV positive pregnant women</w:t>
            </w:r>
            <w:r w:rsidR="00EA7754" w:rsidRPr="0016235B">
              <w:rPr>
                <w:rFonts w:ascii="Candara" w:hAnsi="Candara"/>
              </w:rPr>
              <w:t xml:space="preserve">. </w:t>
            </w:r>
          </w:p>
          <w:p w14:paraId="4DC04FC1" w14:textId="251A0F81" w:rsidR="004F39BA" w:rsidRPr="0016235B" w:rsidRDefault="004F39BA" w:rsidP="005722F2">
            <w:pPr>
              <w:pStyle w:val="ListParagraph"/>
              <w:numPr>
                <w:ilvl w:val="0"/>
                <w:numId w:val="6"/>
              </w:numPr>
              <w:jc w:val="both"/>
              <w:rPr>
                <w:rFonts w:ascii="Candara" w:hAnsi="Candara"/>
              </w:rPr>
            </w:pPr>
            <w:r w:rsidRPr="0016235B">
              <w:rPr>
                <w:rFonts w:ascii="Candara" w:hAnsi="Candara"/>
              </w:rPr>
              <w:t>Of the</w:t>
            </w:r>
            <w:r w:rsidR="009A1AF9" w:rsidRPr="0016235B">
              <w:rPr>
                <w:rFonts w:ascii="Candara" w:hAnsi="Candara"/>
              </w:rPr>
              <w:t>se</w:t>
            </w:r>
            <w:r w:rsidR="00EA7754" w:rsidRPr="0016235B">
              <w:rPr>
                <w:rFonts w:ascii="Candara" w:hAnsi="Candara"/>
              </w:rPr>
              <w:t xml:space="preserve"> facilities (</w:t>
            </w:r>
            <w:r w:rsidRPr="0016235B">
              <w:rPr>
                <w:rFonts w:ascii="Candara" w:hAnsi="Candara"/>
              </w:rPr>
              <w:t>54%</w:t>
            </w:r>
            <w:r w:rsidR="00EA7754" w:rsidRPr="0016235B">
              <w:rPr>
                <w:rFonts w:ascii="Candara" w:hAnsi="Candara"/>
              </w:rPr>
              <w:t>)</w:t>
            </w:r>
            <w:r w:rsidRPr="0016235B">
              <w:rPr>
                <w:rFonts w:ascii="Candara" w:hAnsi="Candara"/>
              </w:rPr>
              <w:t xml:space="preserve"> of</w:t>
            </w:r>
            <w:r w:rsidR="00EA7754" w:rsidRPr="0016235B">
              <w:rPr>
                <w:rFonts w:ascii="Candara" w:hAnsi="Candara"/>
              </w:rPr>
              <w:t xml:space="preserve">fering </w:t>
            </w:r>
            <w:proofErr w:type="spellStart"/>
            <w:r w:rsidR="00EA7754" w:rsidRPr="0016235B">
              <w:rPr>
                <w:rFonts w:ascii="Candara" w:hAnsi="Candara"/>
              </w:rPr>
              <w:t>eMTCT</w:t>
            </w:r>
            <w:proofErr w:type="spellEnd"/>
            <w:r w:rsidRPr="0016235B">
              <w:rPr>
                <w:rFonts w:ascii="Candara" w:hAnsi="Candara"/>
              </w:rPr>
              <w:t>;</w:t>
            </w:r>
          </w:p>
          <w:p w14:paraId="7B425FB7" w14:textId="1D1F0769" w:rsidR="009A1AF9" w:rsidRPr="0016235B" w:rsidRDefault="009A1AF9" w:rsidP="005722F2">
            <w:pPr>
              <w:pStyle w:val="ListParagraph"/>
              <w:numPr>
                <w:ilvl w:val="1"/>
                <w:numId w:val="6"/>
              </w:numPr>
              <w:jc w:val="both"/>
              <w:rPr>
                <w:rFonts w:ascii="Candara" w:hAnsi="Candara"/>
              </w:rPr>
            </w:pPr>
            <w:r w:rsidRPr="0016235B">
              <w:rPr>
                <w:rFonts w:ascii="Candara" w:hAnsi="Candara"/>
              </w:rPr>
              <w:t>All (100%) offer</w:t>
            </w:r>
            <w:r w:rsidR="00DD6B17">
              <w:rPr>
                <w:rFonts w:ascii="Candara" w:hAnsi="Candara"/>
              </w:rPr>
              <w:t>ed</w:t>
            </w:r>
            <w:r w:rsidRPr="0016235B">
              <w:rPr>
                <w:rFonts w:ascii="Candara" w:hAnsi="Candara"/>
              </w:rPr>
              <w:t xml:space="preserve"> HIV counselling and testing </w:t>
            </w:r>
            <w:r w:rsidR="00DD6B17">
              <w:rPr>
                <w:rFonts w:ascii="Candara" w:hAnsi="Candara"/>
              </w:rPr>
              <w:t>but</w:t>
            </w:r>
            <w:r w:rsidRPr="0016235B">
              <w:rPr>
                <w:rFonts w:ascii="Candara" w:hAnsi="Candara"/>
              </w:rPr>
              <w:t xml:space="preserve"> only 79 % offer</w:t>
            </w:r>
            <w:r w:rsidR="00DD6B17">
              <w:rPr>
                <w:rFonts w:ascii="Candara" w:hAnsi="Candara"/>
              </w:rPr>
              <w:t>ed</w:t>
            </w:r>
            <w:r w:rsidRPr="0016235B">
              <w:rPr>
                <w:rFonts w:ascii="Candara" w:hAnsi="Candara"/>
              </w:rPr>
              <w:t xml:space="preserve"> ARV prophylaxis to new born and ARV prophylaxis</w:t>
            </w:r>
          </w:p>
          <w:p w14:paraId="66A2617E" w14:textId="2CF0269F" w:rsidR="00840E6B" w:rsidRPr="0016235B" w:rsidRDefault="009A1AF9" w:rsidP="005722F2">
            <w:pPr>
              <w:pStyle w:val="ListParagraph"/>
              <w:numPr>
                <w:ilvl w:val="1"/>
                <w:numId w:val="6"/>
              </w:numPr>
              <w:jc w:val="both"/>
              <w:rPr>
                <w:rFonts w:ascii="Candara" w:hAnsi="Candara"/>
              </w:rPr>
            </w:pPr>
            <w:r w:rsidRPr="0016235B">
              <w:rPr>
                <w:rFonts w:ascii="Candara" w:hAnsi="Candara"/>
              </w:rPr>
              <w:t xml:space="preserve">All </w:t>
            </w:r>
            <w:r w:rsidR="00840E6B" w:rsidRPr="0016235B">
              <w:rPr>
                <w:rFonts w:ascii="Candara" w:hAnsi="Candara"/>
              </w:rPr>
              <w:t>Regional hospitals offer</w:t>
            </w:r>
            <w:r w:rsidR="00DD6B17">
              <w:rPr>
                <w:rFonts w:ascii="Candara" w:hAnsi="Candara"/>
              </w:rPr>
              <w:t>ed</w:t>
            </w:r>
            <w:r w:rsidR="00840E6B" w:rsidRPr="0016235B">
              <w:rPr>
                <w:rFonts w:ascii="Candara" w:hAnsi="Candara"/>
              </w:rPr>
              <w:t xml:space="preserve"> </w:t>
            </w:r>
            <w:proofErr w:type="spellStart"/>
            <w:r w:rsidR="00840E6B" w:rsidRPr="0016235B">
              <w:rPr>
                <w:rFonts w:ascii="Candara" w:hAnsi="Candara"/>
              </w:rPr>
              <w:t>eMTCT</w:t>
            </w:r>
            <w:proofErr w:type="spellEnd"/>
            <w:r w:rsidR="00840E6B" w:rsidRPr="0016235B">
              <w:rPr>
                <w:rFonts w:ascii="Candara" w:hAnsi="Candara"/>
              </w:rPr>
              <w:t xml:space="preserve"> services</w:t>
            </w:r>
            <w:r w:rsidR="00696C83" w:rsidRPr="0016235B">
              <w:rPr>
                <w:rFonts w:ascii="Candara" w:hAnsi="Candara"/>
              </w:rPr>
              <w:t xml:space="preserve"> </w:t>
            </w:r>
            <w:r w:rsidRPr="0016235B">
              <w:rPr>
                <w:rFonts w:ascii="Candara" w:hAnsi="Candara"/>
              </w:rPr>
              <w:t xml:space="preserve">and only 43% of </w:t>
            </w:r>
            <w:r w:rsidR="00696C83" w:rsidRPr="0016235B">
              <w:rPr>
                <w:rFonts w:ascii="Candara" w:hAnsi="Candara"/>
              </w:rPr>
              <w:t>HC II</w:t>
            </w:r>
            <w:r w:rsidRPr="0016235B">
              <w:rPr>
                <w:rFonts w:ascii="Candara" w:hAnsi="Candara"/>
              </w:rPr>
              <w:t>s</w:t>
            </w:r>
            <w:r w:rsidR="00840E6B" w:rsidRPr="0016235B">
              <w:rPr>
                <w:rFonts w:ascii="Candara" w:hAnsi="Candara"/>
              </w:rPr>
              <w:t xml:space="preserve"> </w:t>
            </w:r>
          </w:p>
          <w:p w14:paraId="27AF5EAD" w14:textId="7A58F21D" w:rsidR="004F39BA" w:rsidRPr="0016235B" w:rsidRDefault="00696C83" w:rsidP="005722F2">
            <w:pPr>
              <w:pStyle w:val="ListParagraph"/>
              <w:numPr>
                <w:ilvl w:val="1"/>
                <w:numId w:val="6"/>
              </w:numPr>
              <w:jc w:val="both"/>
              <w:rPr>
                <w:rFonts w:ascii="Candara" w:hAnsi="Candara"/>
              </w:rPr>
            </w:pPr>
            <w:r w:rsidRPr="0016235B">
              <w:rPr>
                <w:rFonts w:ascii="Candara" w:hAnsi="Candara"/>
              </w:rPr>
              <w:t xml:space="preserve">Public facilities </w:t>
            </w:r>
            <w:r w:rsidR="00DD6B17">
              <w:rPr>
                <w:rFonts w:ascii="Candara" w:hAnsi="Candara"/>
              </w:rPr>
              <w:t>we</w:t>
            </w:r>
            <w:r w:rsidR="009A1AF9" w:rsidRPr="0016235B">
              <w:rPr>
                <w:rFonts w:ascii="Candara" w:hAnsi="Candara"/>
              </w:rPr>
              <w:t xml:space="preserve">re </w:t>
            </w:r>
            <w:r w:rsidRPr="0016235B">
              <w:rPr>
                <w:rFonts w:ascii="Candara" w:hAnsi="Candara"/>
              </w:rPr>
              <w:t>twice</w:t>
            </w:r>
            <w:r w:rsidR="00DD6B17">
              <w:rPr>
                <w:rFonts w:ascii="Candara" w:hAnsi="Candara"/>
              </w:rPr>
              <w:t xml:space="preserve"> more</w:t>
            </w:r>
            <w:r w:rsidRPr="0016235B">
              <w:rPr>
                <w:rFonts w:ascii="Candara" w:hAnsi="Candara"/>
              </w:rPr>
              <w:t xml:space="preserve"> </w:t>
            </w:r>
            <w:r w:rsidR="009A1AF9" w:rsidRPr="0016235B">
              <w:rPr>
                <w:rFonts w:ascii="Candara" w:hAnsi="Candara"/>
              </w:rPr>
              <w:t>likely</w:t>
            </w:r>
            <w:r w:rsidRPr="0016235B">
              <w:rPr>
                <w:rFonts w:ascii="Candara" w:hAnsi="Candara"/>
              </w:rPr>
              <w:t xml:space="preserve"> (72%) </w:t>
            </w:r>
            <w:r w:rsidR="009A1AF9" w:rsidRPr="0016235B">
              <w:rPr>
                <w:rFonts w:ascii="Candara" w:hAnsi="Candara"/>
              </w:rPr>
              <w:t xml:space="preserve">to offer </w:t>
            </w:r>
            <w:proofErr w:type="spellStart"/>
            <w:r w:rsidRPr="0016235B">
              <w:rPr>
                <w:rFonts w:ascii="Candara" w:hAnsi="Candara"/>
              </w:rPr>
              <w:t>eMTCT</w:t>
            </w:r>
            <w:proofErr w:type="spellEnd"/>
            <w:r w:rsidRPr="0016235B">
              <w:rPr>
                <w:rFonts w:ascii="Candara" w:hAnsi="Candara"/>
              </w:rPr>
              <w:t xml:space="preserve"> services than private facilities (36%)</w:t>
            </w:r>
          </w:p>
          <w:p w14:paraId="34EEF355" w14:textId="414D35DA" w:rsidR="00696C83" w:rsidRPr="0016235B" w:rsidRDefault="004F39BA" w:rsidP="005722F2">
            <w:pPr>
              <w:pStyle w:val="ListParagraph"/>
              <w:numPr>
                <w:ilvl w:val="1"/>
                <w:numId w:val="6"/>
              </w:numPr>
              <w:jc w:val="both"/>
              <w:rPr>
                <w:rFonts w:ascii="Candara" w:hAnsi="Candara"/>
              </w:rPr>
            </w:pPr>
            <w:r w:rsidRPr="0016235B">
              <w:rPr>
                <w:rFonts w:ascii="Candara" w:hAnsi="Candara"/>
              </w:rPr>
              <w:t>More HC</w:t>
            </w:r>
            <w:r w:rsidR="00EC1CE7" w:rsidRPr="0016235B">
              <w:rPr>
                <w:rFonts w:ascii="Candara" w:hAnsi="Candara"/>
              </w:rPr>
              <w:t xml:space="preserve"> </w:t>
            </w:r>
            <w:r w:rsidRPr="0016235B">
              <w:rPr>
                <w:rFonts w:ascii="Candara" w:hAnsi="Candara"/>
              </w:rPr>
              <w:t>IV</w:t>
            </w:r>
            <w:r w:rsidR="00EC1CE7" w:rsidRPr="0016235B">
              <w:rPr>
                <w:rFonts w:ascii="Candara" w:hAnsi="Candara"/>
              </w:rPr>
              <w:t>s</w:t>
            </w:r>
            <w:r w:rsidRPr="0016235B">
              <w:rPr>
                <w:rFonts w:ascii="Candara" w:hAnsi="Candara"/>
              </w:rPr>
              <w:t xml:space="preserve"> and HC</w:t>
            </w:r>
            <w:r w:rsidR="00EC1CE7" w:rsidRPr="0016235B">
              <w:rPr>
                <w:rFonts w:ascii="Candara" w:hAnsi="Candara"/>
              </w:rPr>
              <w:t xml:space="preserve"> </w:t>
            </w:r>
            <w:r w:rsidRPr="0016235B">
              <w:rPr>
                <w:rFonts w:ascii="Candara" w:hAnsi="Candara"/>
              </w:rPr>
              <w:t>III</w:t>
            </w:r>
            <w:r w:rsidR="00EC1CE7" w:rsidRPr="0016235B">
              <w:rPr>
                <w:rFonts w:ascii="Candara" w:hAnsi="Candara"/>
              </w:rPr>
              <w:t>s</w:t>
            </w:r>
            <w:r w:rsidRPr="0016235B">
              <w:rPr>
                <w:rFonts w:ascii="Candara" w:hAnsi="Candara"/>
              </w:rPr>
              <w:t xml:space="preserve"> provide</w:t>
            </w:r>
            <w:r w:rsidR="00DD6B17">
              <w:rPr>
                <w:rFonts w:ascii="Candara" w:hAnsi="Candara"/>
              </w:rPr>
              <w:t>d</w:t>
            </w:r>
            <w:r w:rsidRPr="0016235B">
              <w:rPr>
                <w:rFonts w:ascii="Candara" w:hAnsi="Candara"/>
              </w:rPr>
              <w:t xml:space="preserve"> </w:t>
            </w:r>
            <w:proofErr w:type="spellStart"/>
            <w:r w:rsidR="00DF292E" w:rsidRPr="0016235B">
              <w:rPr>
                <w:rFonts w:ascii="Candara" w:hAnsi="Candara"/>
              </w:rPr>
              <w:t>eMTCT</w:t>
            </w:r>
            <w:proofErr w:type="spellEnd"/>
            <w:r w:rsidR="00DF292E" w:rsidRPr="0016235B">
              <w:rPr>
                <w:rFonts w:ascii="Candara" w:hAnsi="Candara"/>
              </w:rPr>
              <w:t xml:space="preserve"> </w:t>
            </w:r>
            <w:r w:rsidR="00EC1CE7" w:rsidRPr="0016235B">
              <w:rPr>
                <w:rFonts w:ascii="Candara" w:hAnsi="Candara"/>
              </w:rPr>
              <w:t xml:space="preserve">services </w:t>
            </w:r>
            <w:r w:rsidR="00DF292E" w:rsidRPr="0016235B">
              <w:rPr>
                <w:rFonts w:ascii="Candara" w:hAnsi="Candara"/>
              </w:rPr>
              <w:t>than</w:t>
            </w:r>
            <w:r w:rsidRPr="0016235B">
              <w:rPr>
                <w:rFonts w:ascii="Candara" w:hAnsi="Candara"/>
              </w:rPr>
              <w:t xml:space="preserve"> </w:t>
            </w:r>
            <w:r w:rsidR="00EC1CE7" w:rsidRPr="0016235B">
              <w:rPr>
                <w:rFonts w:ascii="Candara" w:hAnsi="Candara"/>
              </w:rPr>
              <w:t>G</w:t>
            </w:r>
            <w:r w:rsidRPr="0016235B">
              <w:rPr>
                <w:rFonts w:ascii="Candara" w:hAnsi="Candara"/>
              </w:rPr>
              <w:t>eneral hospitals</w:t>
            </w:r>
          </w:p>
          <w:p w14:paraId="4B750E2B" w14:textId="618F5059" w:rsidR="00696C83" w:rsidRPr="0016235B" w:rsidRDefault="00696C83" w:rsidP="005722F2">
            <w:pPr>
              <w:pStyle w:val="ListParagraph"/>
              <w:numPr>
                <w:ilvl w:val="1"/>
                <w:numId w:val="6"/>
              </w:numPr>
              <w:jc w:val="both"/>
              <w:rPr>
                <w:rFonts w:ascii="Candara" w:hAnsi="Candara"/>
              </w:rPr>
            </w:pPr>
            <w:r w:rsidRPr="0016235B">
              <w:rPr>
                <w:rFonts w:ascii="Candara" w:hAnsi="Candara"/>
              </w:rPr>
              <w:t xml:space="preserve">There </w:t>
            </w:r>
            <w:r w:rsidR="00170E1E">
              <w:rPr>
                <w:rFonts w:ascii="Candara" w:hAnsi="Candara"/>
              </w:rPr>
              <w:t>we</w:t>
            </w:r>
            <w:r w:rsidRPr="0016235B">
              <w:rPr>
                <w:rFonts w:ascii="Candara" w:hAnsi="Candara"/>
              </w:rPr>
              <w:t xml:space="preserve">re more rural based facilities (62%) offering </w:t>
            </w:r>
            <w:proofErr w:type="spellStart"/>
            <w:r w:rsidRPr="0016235B">
              <w:rPr>
                <w:rFonts w:ascii="Candara" w:hAnsi="Candara"/>
              </w:rPr>
              <w:t>eMTCT</w:t>
            </w:r>
            <w:proofErr w:type="spellEnd"/>
            <w:r w:rsidRPr="0016235B">
              <w:rPr>
                <w:rFonts w:ascii="Candara" w:hAnsi="Candara"/>
              </w:rPr>
              <w:t xml:space="preserve"> services than urban facilities (44%)</w:t>
            </w:r>
          </w:p>
          <w:p w14:paraId="50399363" w14:textId="321CC458" w:rsidR="004F39BA" w:rsidRPr="0016235B" w:rsidRDefault="006E2385" w:rsidP="005722F2">
            <w:pPr>
              <w:pStyle w:val="ListParagraph"/>
              <w:numPr>
                <w:ilvl w:val="1"/>
                <w:numId w:val="6"/>
              </w:numPr>
              <w:jc w:val="both"/>
              <w:rPr>
                <w:rFonts w:ascii="Candara" w:hAnsi="Candara"/>
              </w:rPr>
            </w:pPr>
            <w:r w:rsidRPr="0016235B">
              <w:rPr>
                <w:rFonts w:ascii="Candara" w:hAnsi="Candara"/>
              </w:rPr>
              <w:t xml:space="preserve">There </w:t>
            </w:r>
            <w:r w:rsidR="00170E1E">
              <w:rPr>
                <w:rFonts w:ascii="Candara" w:hAnsi="Candara"/>
              </w:rPr>
              <w:t>was</w:t>
            </w:r>
            <w:r w:rsidR="00DF292E" w:rsidRPr="0016235B">
              <w:rPr>
                <w:rFonts w:ascii="Candara" w:hAnsi="Candara"/>
              </w:rPr>
              <w:t xml:space="preserve"> </w:t>
            </w:r>
            <w:r w:rsidR="00EC1CE7" w:rsidRPr="0016235B">
              <w:rPr>
                <w:rFonts w:ascii="Candara" w:hAnsi="Candara"/>
              </w:rPr>
              <w:t>a wide r</w:t>
            </w:r>
            <w:r w:rsidR="00DF292E" w:rsidRPr="0016235B">
              <w:rPr>
                <w:rFonts w:ascii="Candara" w:hAnsi="Candara"/>
              </w:rPr>
              <w:t>egional</w:t>
            </w:r>
            <w:r w:rsidRPr="0016235B">
              <w:rPr>
                <w:rFonts w:ascii="Candara" w:hAnsi="Candara"/>
              </w:rPr>
              <w:t xml:space="preserve"> </w:t>
            </w:r>
            <w:r w:rsidR="00EC1CE7" w:rsidRPr="0016235B">
              <w:rPr>
                <w:rFonts w:ascii="Candara" w:hAnsi="Candara"/>
              </w:rPr>
              <w:t>variation</w:t>
            </w:r>
            <w:r w:rsidRPr="0016235B">
              <w:rPr>
                <w:rFonts w:ascii="Candara" w:hAnsi="Candara"/>
              </w:rPr>
              <w:t xml:space="preserve"> in the facilities offering </w:t>
            </w:r>
            <w:proofErr w:type="spellStart"/>
            <w:r w:rsidRPr="0016235B">
              <w:rPr>
                <w:rFonts w:ascii="Candara" w:hAnsi="Candara"/>
              </w:rPr>
              <w:t>eMTCT</w:t>
            </w:r>
            <w:proofErr w:type="spellEnd"/>
            <w:r w:rsidRPr="0016235B">
              <w:rPr>
                <w:rFonts w:ascii="Candara" w:hAnsi="Candara"/>
              </w:rPr>
              <w:t xml:space="preserve"> services with the lowest being Kampala</w:t>
            </w:r>
            <w:r w:rsidR="00DF292E" w:rsidRPr="0016235B">
              <w:rPr>
                <w:rFonts w:ascii="Candara" w:hAnsi="Candara"/>
              </w:rPr>
              <w:t xml:space="preserve"> </w:t>
            </w:r>
            <w:r w:rsidRPr="0016235B">
              <w:rPr>
                <w:rFonts w:ascii="Candara" w:hAnsi="Candara"/>
              </w:rPr>
              <w:t xml:space="preserve">(27%) and the highest </w:t>
            </w:r>
            <w:r w:rsidR="00EC1CE7" w:rsidRPr="0016235B">
              <w:rPr>
                <w:rFonts w:ascii="Candara" w:hAnsi="Candara"/>
              </w:rPr>
              <w:t>C</w:t>
            </w:r>
            <w:r w:rsidRPr="0016235B">
              <w:rPr>
                <w:rFonts w:ascii="Candara" w:hAnsi="Candara"/>
              </w:rPr>
              <w:t xml:space="preserve">entral 2 </w:t>
            </w:r>
            <w:r w:rsidR="00EC1CE7" w:rsidRPr="0016235B">
              <w:rPr>
                <w:rFonts w:ascii="Candara" w:hAnsi="Candara"/>
              </w:rPr>
              <w:t>(74%)</w:t>
            </w:r>
          </w:p>
        </w:tc>
      </w:tr>
    </w:tbl>
    <w:p w14:paraId="592C7B4A" w14:textId="4E7E3A31" w:rsidR="0033595F" w:rsidRPr="0016235B" w:rsidRDefault="0033595F" w:rsidP="005722F2">
      <w:pPr>
        <w:pStyle w:val="Heading2"/>
        <w:numPr>
          <w:ilvl w:val="1"/>
          <w:numId w:val="25"/>
        </w:numPr>
        <w:rPr>
          <w:rFonts w:ascii="Candara" w:hAnsi="Candara"/>
          <w:b/>
          <w:sz w:val="28"/>
          <w:szCs w:val="28"/>
        </w:rPr>
      </w:pPr>
      <w:bookmarkStart w:id="31" w:name="_Toc11494044"/>
      <w:r w:rsidRPr="0016235B">
        <w:rPr>
          <w:rFonts w:ascii="Candara" w:hAnsi="Candara"/>
          <w:b/>
          <w:sz w:val="28"/>
          <w:szCs w:val="28"/>
        </w:rPr>
        <w:lastRenderedPageBreak/>
        <w:t xml:space="preserve">HIV </w:t>
      </w:r>
      <w:r w:rsidR="00AC5C31" w:rsidRPr="0016235B">
        <w:rPr>
          <w:rFonts w:ascii="Candara" w:hAnsi="Candara"/>
          <w:b/>
          <w:sz w:val="28"/>
          <w:szCs w:val="28"/>
        </w:rPr>
        <w:t>and</w:t>
      </w:r>
      <w:r w:rsidRPr="0016235B">
        <w:rPr>
          <w:rFonts w:ascii="Candara" w:hAnsi="Candara"/>
          <w:b/>
          <w:sz w:val="28"/>
          <w:szCs w:val="28"/>
        </w:rPr>
        <w:t xml:space="preserve"> ART</w:t>
      </w:r>
      <w:bookmarkEnd w:id="31"/>
    </w:p>
    <w:p w14:paraId="5B8B376D" w14:textId="77777777" w:rsidR="00AC5C31" w:rsidRPr="0016235B" w:rsidRDefault="00AC5C31" w:rsidP="00DF292E">
      <w:pPr>
        <w:spacing w:after="0"/>
        <w:rPr>
          <w:rFonts w:ascii="Candara" w:hAnsi="Candara"/>
        </w:rPr>
      </w:pPr>
    </w:p>
    <w:p w14:paraId="467E3D28" w14:textId="1F58589B" w:rsidR="00FF1B54" w:rsidRPr="0016235B" w:rsidRDefault="00E92B1B" w:rsidP="0039752C">
      <w:pPr>
        <w:spacing w:after="0"/>
        <w:jc w:val="both"/>
        <w:rPr>
          <w:rFonts w:ascii="Candara" w:eastAsia="MS Mincho" w:hAnsi="Candara"/>
          <w:sz w:val="24"/>
          <w:szCs w:val="24"/>
        </w:rPr>
      </w:pPr>
      <w:r w:rsidRPr="0016235B">
        <w:rPr>
          <w:rFonts w:ascii="Candara" w:eastAsia="MS Mincho" w:hAnsi="Candara"/>
          <w:sz w:val="24"/>
          <w:szCs w:val="24"/>
        </w:rPr>
        <w:t xml:space="preserve">The survey </w:t>
      </w:r>
      <w:r w:rsidR="00AC5C31" w:rsidRPr="0016235B">
        <w:rPr>
          <w:rFonts w:ascii="Candara" w:eastAsia="MS Mincho" w:hAnsi="Candara"/>
          <w:sz w:val="24"/>
          <w:szCs w:val="24"/>
        </w:rPr>
        <w:t>also assess</w:t>
      </w:r>
      <w:r w:rsidR="00EB25F0" w:rsidRPr="0016235B">
        <w:rPr>
          <w:rFonts w:ascii="Candara" w:eastAsia="MS Mincho" w:hAnsi="Candara"/>
          <w:sz w:val="24"/>
          <w:szCs w:val="24"/>
        </w:rPr>
        <w:t xml:space="preserve">ed the location in the facilities </w:t>
      </w:r>
      <w:r w:rsidR="00AC5C31" w:rsidRPr="0016235B">
        <w:rPr>
          <w:rFonts w:ascii="Candara" w:eastAsia="MS Mincho" w:hAnsi="Candara"/>
          <w:sz w:val="24"/>
          <w:szCs w:val="24"/>
        </w:rPr>
        <w:t>of</w:t>
      </w:r>
      <w:r w:rsidR="00EB25F0" w:rsidRPr="0016235B">
        <w:rPr>
          <w:rFonts w:ascii="Candara" w:eastAsia="MS Mincho" w:hAnsi="Candara"/>
          <w:sz w:val="24"/>
          <w:szCs w:val="24"/>
        </w:rPr>
        <w:t xml:space="preserve"> </w:t>
      </w:r>
      <w:r w:rsidR="003C3964" w:rsidRPr="0016235B">
        <w:rPr>
          <w:rFonts w:ascii="Candara" w:eastAsia="MS Mincho" w:hAnsi="Candara"/>
          <w:sz w:val="24"/>
          <w:szCs w:val="24"/>
        </w:rPr>
        <w:t>HIV counseling</w:t>
      </w:r>
      <w:r w:rsidRPr="0016235B">
        <w:rPr>
          <w:rFonts w:ascii="Candara" w:eastAsia="MS Mincho" w:hAnsi="Candara"/>
          <w:sz w:val="24"/>
          <w:szCs w:val="24"/>
        </w:rPr>
        <w:t xml:space="preserve"> testing</w:t>
      </w:r>
      <w:r w:rsidR="00AC5C31" w:rsidRPr="0016235B">
        <w:rPr>
          <w:rFonts w:ascii="Candara" w:eastAsia="MS Mincho" w:hAnsi="Candara"/>
          <w:sz w:val="24"/>
          <w:szCs w:val="24"/>
        </w:rPr>
        <w:t>,</w:t>
      </w:r>
      <w:r w:rsidRPr="0016235B">
        <w:rPr>
          <w:rFonts w:ascii="Candara" w:eastAsia="MS Mincho" w:hAnsi="Candara"/>
          <w:sz w:val="24"/>
          <w:szCs w:val="24"/>
        </w:rPr>
        <w:t xml:space="preserve"> testing guidelines </w:t>
      </w:r>
      <w:r w:rsidR="00AC5C31" w:rsidRPr="0016235B">
        <w:rPr>
          <w:rFonts w:ascii="Candara" w:eastAsia="MS Mincho" w:hAnsi="Candara"/>
          <w:sz w:val="24"/>
          <w:szCs w:val="24"/>
        </w:rPr>
        <w:t>presence of</w:t>
      </w:r>
      <w:r w:rsidRPr="0016235B">
        <w:rPr>
          <w:rFonts w:ascii="Candara" w:eastAsia="MS Mincho" w:hAnsi="Candara"/>
          <w:sz w:val="24"/>
          <w:szCs w:val="24"/>
        </w:rPr>
        <w:t xml:space="preserve"> train</w:t>
      </w:r>
      <w:r w:rsidR="00AC5C31" w:rsidRPr="0016235B">
        <w:rPr>
          <w:rFonts w:ascii="Candara" w:eastAsia="MS Mincho" w:hAnsi="Candara"/>
          <w:sz w:val="24"/>
          <w:szCs w:val="24"/>
        </w:rPr>
        <w:t>ed staff</w:t>
      </w:r>
      <w:r w:rsidR="00EB25F0" w:rsidRPr="0016235B">
        <w:rPr>
          <w:rFonts w:ascii="Candara" w:eastAsia="MS Mincho" w:hAnsi="Candara"/>
          <w:sz w:val="24"/>
          <w:szCs w:val="24"/>
        </w:rPr>
        <w:t>, consolidation of HIV prevention and treatment guidelines</w:t>
      </w:r>
      <w:r w:rsidR="00AC5C31" w:rsidRPr="0016235B">
        <w:rPr>
          <w:rFonts w:ascii="Candara" w:eastAsia="MS Mincho" w:hAnsi="Candara"/>
          <w:sz w:val="24"/>
          <w:szCs w:val="24"/>
        </w:rPr>
        <w:t>.</w:t>
      </w:r>
    </w:p>
    <w:p w14:paraId="67DD9A19" w14:textId="77777777" w:rsidR="0039752C" w:rsidRPr="0016235B" w:rsidRDefault="0039752C" w:rsidP="0039752C">
      <w:pPr>
        <w:spacing w:after="0"/>
        <w:jc w:val="both"/>
        <w:rPr>
          <w:rFonts w:ascii="Candara" w:eastAsia="MS Mincho" w:hAnsi="Candara"/>
          <w:sz w:val="24"/>
          <w:szCs w:val="24"/>
        </w:rPr>
      </w:pPr>
    </w:p>
    <w:p w14:paraId="1965AF42" w14:textId="2CDBD653" w:rsidR="00DF292E" w:rsidRPr="0016235B" w:rsidRDefault="00DF292E" w:rsidP="00EE2A28">
      <w:pPr>
        <w:rPr>
          <w:rFonts w:ascii="Candara" w:hAnsi="Candara"/>
          <w:b/>
          <w:sz w:val="24"/>
          <w:szCs w:val="24"/>
        </w:rPr>
      </w:pPr>
      <w:r w:rsidRPr="0016235B">
        <w:rPr>
          <w:rFonts w:ascii="Candara" w:hAnsi="Candara"/>
          <w:b/>
          <w:sz w:val="24"/>
          <w:szCs w:val="24"/>
        </w:rPr>
        <w:t>Percent of facilities providing HIV Counselling, Care and support services</w:t>
      </w:r>
    </w:p>
    <w:p w14:paraId="66F14546" w14:textId="310AB092" w:rsidR="0033595F" w:rsidRPr="0016235B" w:rsidRDefault="00DF292E" w:rsidP="0033595F">
      <w:pPr>
        <w:rPr>
          <w:rFonts w:ascii="Candara" w:hAnsi="Candara"/>
        </w:rPr>
      </w:pPr>
      <w:r w:rsidRPr="0016235B">
        <w:rPr>
          <w:rFonts w:ascii="Candara" w:hAnsi="Candara"/>
          <w:noProof/>
        </w:rPr>
        <w:drawing>
          <wp:inline distT="0" distB="0" distL="0" distR="0" wp14:anchorId="603BC6B7" wp14:editId="16D6F4A6">
            <wp:extent cx="5876925" cy="2362200"/>
            <wp:effectExtent l="0" t="0" r="9525" b="0"/>
            <wp:docPr id="21" name="Chart 21">
              <a:extLst xmlns:a="http://schemas.openxmlformats.org/drawingml/2006/main">
                <a:ext uri="{FF2B5EF4-FFF2-40B4-BE49-F238E27FC236}">
                  <a16:creationId xmlns:a16="http://schemas.microsoft.com/office/drawing/2014/main" id="{00000000-0008-0000-1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224A9D5" w14:textId="2097B636" w:rsidR="00DF292E" w:rsidRPr="0016235B" w:rsidRDefault="00DF292E" w:rsidP="0033595F">
      <w:pPr>
        <w:rPr>
          <w:rFonts w:ascii="Candara" w:hAnsi="Candara"/>
          <w:b/>
          <w:sz w:val="24"/>
          <w:szCs w:val="24"/>
        </w:rPr>
      </w:pPr>
      <w:r w:rsidRPr="0016235B">
        <w:rPr>
          <w:rFonts w:ascii="Candara" w:hAnsi="Candara"/>
          <w:b/>
          <w:sz w:val="24"/>
          <w:szCs w:val="24"/>
        </w:rPr>
        <w:t>Guidelines, training of providers and privacy of rooms for consultations</w:t>
      </w:r>
    </w:p>
    <w:p w14:paraId="1CF5BC60" w14:textId="30F38D23" w:rsidR="00DF292E" w:rsidRPr="0016235B" w:rsidRDefault="00DF292E" w:rsidP="0033595F">
      <w:pPr>
        <w:rPr>
          <w:rFonts w:ascii="Candara" w:hAnsi="Candara"/>
        </w:rPr>
      </w:pPr>
      <w:r w:rsidRPr="0016235B">
        <w:rPr>
          <w:rFonts w:ascii="Candara" w:hAnsi="Candara"/>
          <w:noProof/>
        </w:rPr>
        <w:drawing>
          <wp:inline distT="0" distB="0" distL="0" distR="0" wp14:anchorId="0A7A3875" wp14:editId="7C6E614B">
            <wp:extent cx="5943600" cy="3009900"/>
            <wp:effectExtent l="0" t="0" r="0" b="0"/>
            <wp:docPr id="22" name="Chart 22">
              <a:extLst xmlns:a="http://schemas.openxmlformats.org/drawingml/2006/main">
                <a:ext uri="{FF2B5EF4-FFF2-40B4-BE49-F238E27FC236}">
                  <a16:creationId xmlns:a16="http://schemas.microsoft.com/office/drawing/2014/main" id="{00000000-0008-0000-1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B4BE257" w14:textId="77777777" w:rsidR="00AC5C31" w:rsidRPr="0016235B" w:rsidRDefault="00AC5C31" w:rsidP="0033595F">
      <w:pPr>
        <w:rPr>
          <w:rFonts w:ascii="Candara" w:hAnsi="Candara"/>
        </w:rPr>
      </w:pPr>
    </w:p>
    <w:tbl>
      <w:tblPr>
        <w:tblStyle w:val="TableGrid"/>
        <w:tblW w:w="0" w:type="auto"/>
        <w:tblLook w:val="04A0" w:firstRow="1" w:lastRow="0" w:firstColumn="1" w:lastColumn="0" w:noHBand="0" w:noVBand="1"/>
      </w:tblPr>
      <w:tblGrid>
        <w:gridCol w:w="9016"/>
      </w:tblGrid>
      <w:tr w:rsidR="003C3964" w:rsidRPr="0016235B" w14:paraId="132AB110" w14:textId="77777777" w:rsidTr="00000F0C">
        <w:tc>
          <w:tcPr>
            <w:tcW w:w="9016" w:type="dxa"/>
          </w:tcPr>
          <w:p w14:paraId="20B321F6" w14:textId="776F6B77" w:rsidR="003C3964" w:rsidRPr="0016235B" w:rsidRDefault="003C3964" w:rsidP="0033595F">
            <w:pPr>
              <w:rPr>
                <w:rFonts w:ascii="Candara" w:hAnsi="Candara"/>
                <w:b/>
              </w:rPr>
            </w:pPr>
            <w:r w:rsidRPr="0016235B">
              <w:rPr>
                <w:rFonts w:ascii="Candara" w:hAnsi="Candara"/>
                <w:b/>
              </w:rPr>
              <w:t>Key Findings</w:t>
            </w:r>
          </w:p>
        </w:tc>
      </w:tr>
      <w:tr w:rsidR="003C3964" w:rsidRPr="0016235B" w14:paraId="4E64CC14" w14:textId="77777777" w:rsidTr="00000F0C">
        <w:tc>
          <w:tcPr>
            <w:tcW w:w="9016" w:type="dxa"/>
          </w:tcPr>
          <w:p w14:paraId="02F5824B" w14:textId="11EA3060" w:rsidR="00987776" w:rsidRPr="0016235B" w:rsidRDefault="003C3964" w:rsidP="005722F2">
            <w:pPr>
              <w:pStyle w:val="ListParagraph"/>
              <w:numPr>
                <w:ilvl w:val="0"/>
                <w:numId w:val="7"/>
              </w:numPr>
              <w:rPr>
                <w:rFonts w:ascii="Candara" w:hAnsi="Candara"/>
              </w:rPr>
            </w:pPr>
            <w:r w:rsidRPr="0016235B">
              <w:rPr>
                <w:rFonts w:ascii="Candara" w:hAnsi="Candara"/>
              </w:rPr>
              <w:t xml:space="preserve">Of all the facilities assessed </w:t>
            </w:r>
          </w:p>
          <w:p w14:paraId="33CF0711" w14:textId="14A53079" w:rsidR="00AD4DDD" w:rsidRPr="0016235B" w:rsidRDefault="003C3964" w:rsidP="005722F2">
            <w:pPr>
              <w:pStyle w:val="ListParagraph"/>
              <w:numPr>
                <w:ilvl w:val="1"/>
                <w:numId w:val="7"/>
              </w:numPr>
              <w:rPr>
                <w:rFonts w:ascii="Candara" w:hAnsi="Candara"/>
              </w:rPr>
            </w:pPr>
            <w:r w:rsidRPr="0016235B">
              <w:rPr>
                <w:rFonts w:ascii="Candara" w:hAnsi="Candara"/>
              </w:rPr>
              <w:t>83% provide</w:t>
            </w:r>
            <w:r w:rsidR="00170E1E">
              <w:rPr>
                <w:rFonts w:ascii="Candara" w:hAnsi="Candara"/>
              </w:rPr>
              <w:t>d</w:t>
            </w:r>
            <w:r w:rsidRPr="0016235B">
              <w:rPr>
                <w:rFonts w:ascii="Candara" w:hAnsi="Candara"/>
              </w:rPr>
              <w:t xml:space="preserve"> HIV counselling and testing services</w:t>
            </w:r>
            <w:r w:rsidR="00AD4DDD" w:rsidRPr="0016235B">
              <w:rPr>
                <w:rFonts w:ascii="Candara" w:hAnsi="Candara"/>
              </w:rPr>
              <w:t xml:space="preserve"> </w:t>
            </w:r>
          </w:p>
          <w:p w14:paraId="0ACFF9BA" w14:textId="1929449D" w:rsidR="003C3964" w:rsidRPr="0016235B" w:rsidRDefault="003C3964" w:rsidP="005722F2">
            <w:pPr>
              <w:pStyle w:val="ListParagraph"/>
              <w:numPr>
                <w:ilvl w:val="1"/>
                <w:numId w:val="7"/>
              </w:numPr>
              <w:rPr>
                <w:rFonts w:ascii="Candara" w:hAnsi="Candara"/>
              </w:rPr>
            </w:pPr>
            <w:r w:rsidRPr="0016235B">
              <w:rPr>
                <w:rFonts w:ascii="Candara" w:hAnsi="Candara"/>
              </w:rPr>
              <w:t>41% provide</w:t>
            </w:r>
            <w:r w:rsidR="00170E1E">
              <w:rPr>
                <w:rFonts w:ascii="Candara" w:hAnsi="Candara"/>
              </w:rPr>
              <w:t>d</w:t>
            </w:r>
            <w:r w:rsidRPr="0016235B">
              <w:rPr>
                <w:rFonts w:ascii="Candara" w:hAnsi="Candara"/>
              </w:rPr>
              <w:t xml:space="preserve"> HIV Care and support serv</w:t>
            </w:r>
            <w:r w:rsidR="00987776" w:rsidRPr="0016235B">
              <w:rPr>
                <w:rFonts w:ascii="Candara" w:hAnsi="Candara"/>
              </w:rPr>
              <w:t>ices and 43% offer</w:t>
            </w:r>
            <w:r w:rsidR="002A4849">
              <w:rPr>
                <w:rFonts w:ascii="Candara" w:hAnsi="Candara"/>
              </w:rPr>
              <w:t>ed</w:t>
            </w:r>
            <w:r w:rsidR="00987776" w:rsidRPr="0016235B">
              <w:rPr>
                <w:rFonts w:ascii="Candara" w:hAnsi="Candara"/>
              </w:rPr>
              <w:t xml:space="preserve"> ARV services</w:t>
            </w:r>
          </w:p>
          <w:p w14:paraId="66B2106B" w14:textId="4E6B7325" w:rsidR="00987776" w:rsidRPr="0016235B" w:rsidRDefault="00987776" w:rsidP="005722F2">
            <w:pPr>
              <w:pStyle w:val="ListParagraph"/>
              <w:numPr>
                <w:ilvl w:val="1"/>
                <w:numId w:val="7"/>
              </w:numPr>
              <w:rPr>
                <w:rFonts w:ascii="Candara" w:hAnsi="Candara"/>
              </w:rPr>
            </w:pPr>
            <w:r w:rsidRPr="0016235B">
              <w:rPr>
                <w:rFonts w:ascii="Candara" w:hAnsi="Candara"/>
              </w:rPr>
              <w:t>74% offer</w:t>
            </w:r>
            <w:r w:rsidR="002A4849">
              <w:rPr>
                <w:rFonts w:ascii="Candara" w:hAnsi="Candara"/>
              </w:rPr>
              <w:t>ed</w:t>
            </w:r>
            <w:r w:rsidRPr="0016235B">
              <w:rPr>
                <w:rFonts w:ascii="Candara" w:hAnsi="Candara"/>
              </w:rPr>
              <w:t xml:space="preserve"> HIV counselling and testing to adolescents</w:t>
            </w:r>
          </w:p>
          <w:p w14:paraId="3B5C7238" w14:textId="71660C84" w:rsidR="00987776" w:rsidRPr="0016235B" w:rsidRDefault="00987776" w:rsidP="005722F2">
            <w:pPr>
              <w:pStyle w:val="ListParagraph"/>
              <w:numPr>
                <w:ilvl w:val="0"/>
                <w:numId w:val="7"/>
              </w:numPr>
              <w:rPr>
                <w:rFonts w:ascii="Candara" w:hAnsi="Candara"/>
              </w:rPr>
            </w:pPr>
            <w:r w:rsidRPr="0016235B">
              <w:rPr>
                <w:rFonts w:ascii="Candara" w:hAnsi="Candara"/>
              </w:rPr>
              <w:t>Of the facilities offering HIV counselling and testing services (83%)</w:t>
            </w:r>
          </w:p>
          <w:p w14:paraId="72FB1A30" w14:textId="1C363911" w:rsidR="00987776" w:rsidRPr="0016235B" w:rsidRDefault="00987776" w:rsidP="005722F2">
            <w:pPr>
              <w:pStyle w:val="ListParagraph"/>
              <w:numPr>
                <w:ilvl w:val="1"/>
                <w:numId w:val="7"/>
              </w:numPr>
              <w:rPr>
                <w:rFonts w:ascii="Candara" w:hAnsi="Candara"/>
              </w:rPr>
            </w:pPr>
            <w:r w:rsidRPr="0016235B">
              <w:rPr>
                <w:rFonts w:ascii="Candara" w:hAnsi="Candara"/>
              </w:rPr>
              <w:t>Only 63% had rooms with auditory and/or visual privacy</w:t>
            </w:r>
          </w:p>
          <w:p w14:paraId="4289D7C7" w14:textId="0B8B5A00" w:rsidR="00AD4DDD" w:rsidRPr="0016235B" w:rsidRDefault="00987776" w:rsidP="005722F2">
            <w:pPr>
              <w:pStyle w:val="ListParagraph"/>
              <w:numPr>
                <w:ilvl w:val="1"/>
                <w:numId w:val="7"/>
              </w:numPr>
              <w:rPr>
                <w:rFonts w:ascii="Candara" w:hAnsi="Candara"/>
              </w:rPr>
            </w:pPr>
            <w:r w:rsidRPr="0016235B">
              <w:rPr>
                <w:rFonts w:ascii="Candara" w:hAnsi="Candara"/>
              </w:rPr>
              <w:t>64% had guidelines for HCT</w:t>
            </w:r>
            <w:r w:rsidR="0039752C" w:rsidRPr="0016235B">
              <w:rPr>
                <w:rFonts w:ascii="Candara" w:hAnsi="Candara"/>
              </w:rPr>
              <w:t xml:space="preserve"> and 57% had providers trained in HCT</w:t>
            </w:r>
          </w:p>
          <w:p w14:paraId="67D76C5B" w14:textId="0B96DD42" w:rsidR="003C3964" w:rsidRPr="0016235B" w:rsidRDefault="0039752C" w:rsidP="005722F2">
            <w:pPr>
              <w:pStyle w:val="ListParagraph"/>
              <w:numPr>
                <w:ilvl w:val="1"/>
                <w:numId w:val="7"/>
              </w:numPr>
              <w:rPr>
                <w:rFonts w:ascii="Candara" w:hAnsi="Candara"/>
              </w:rPr>
            </w:pPr>
            <w:r w:rsidRPr="0016235B">
              <w:rPr>
                <w:rFonts w:ascii="Candara" w:hAnsi="Candara"/>
              </w:rPr>
              <w:t>58% of them had staff trained in HIV/AIDS prevention/care/management</w:t>
            </w:r>
          </w:p>
        </w:tc>
      </w:tr>
    </w:tbl>
    <w:p w14:paraId="7961EE6E" w14:textId="452EB571" w:rsidR="00000F0C" w:rsidRPr="0016235B" w:rsidRDefault="00000F0C" w:rsidP="0075517F">
      <w:pPr>
        <w:rPr>
          <w:rFonts w:ascii="Candara" w:hAnsi="Candara"/>
        </w:rPr>
      </w:pPr>
      <w:r w:rsidRPr="0016235B">
        <w:rPr>
          <w:rFonts w:ascii="Candara" w:hAnsi="Candara"/>
          <w:b/>
          <w:sz w:val="24"/>
          <w:szCs w:val="24"/>
        </w:rPr>
        <w:lastRenderedPageBreak/>
        <w:t>HIV rapid test kits in stock and availability of condoms in the service site on day of survey visit</w:t>
      </w:r>
    </w:p>
    <w:p w14:paraId="018BC9DB" w14:textId="1BE2E088" w:rsidR="00000F0C" w:rsidRPr="0016235B" w:rsidRDefault="00000F0C" w:rsidP="0075517F">
      <w:pPr>
        <w:rPr>
          <w:rFonts w:ascii="Candara" w:hAnsi="Candara"/>
        </w:rPr>
      </w:pPr>
      <w:r w:rsidRPr="0016235B">
        <w:rPr>
          <w:rFonts w:ascii="Candara" w:hAnsi="Candara"/>
          <w:noProof/>
        </w:rPr>
        <w:drawing>
          <wp:inline distT="0" distB="0" distL="0" distR="0" wp14:anchorId="69CC7DB9" wp14:editId="734C2FB9">
            <wp:extent cx="5686425" cy="3338513"/>
            <wp:effectExtent l="0" t="0" r="9525" b="14605"/>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ACB7820" w14:textId="77777777" w:rsidR="00000F0C" w:rsidRPr="0016235B" w:rsidRDefault="00000F0C" w:rsidP="0075517F">
      <w:pPr>
        <w:rPr>
          <w:rFonts w:ascii="Candara" w:hAnsi="Candara"/>
        </w:rPr>
      </w:pPr>
    </w:p>
    <w:p w14:paraId="3D04F084" w14:textId="6019717A" w:rsidR="00000F0C" w:rsidRPr="0016235B" w:rsidRDefault="00000F0C" w:rsidP="0075517F">
      <w:pPr>
        <w:rPr>
          <w:rFonts w:ascii="Candara" w:hAnsi="Candara"/>
          <w:b/>
          <w:sz w:val="24"/>
          <w:szCs w:val="24"/>
        </w:rPr>
      </w:pPr>
      <w:r w:rsidRPr="0016235B">
        <w:rPr>
          <w:rFonts w:ascii="Candara" w:hAnsi="Candara"/>
          <w:b/>
          <w:sz w:val="24"/>
          <w:szCs w:val="24"/>
        </w:rPr>
        <w:t>HIV &amp; AIDS antiretroviral prescription or antiretroviral treatment follow-up services</w:t>
      </w:r>
    </w:p>
    <w:p w14:paraId="6995128B" w14:textId="7CA2ED00" w:rsidR="00000F0C" w:rsidRPr="0016235B" w:rsidRDefault="00000F0C" w:rsidP="0075517F">
      <w:pPr>
        <w:rPr>
          <w:rFonts w:ascii="Candara" w:hAnsi="Candara"/>
        </w:rPr>
      </w:pPr>
      <w:r w:rsidRPr="0016235B">
        <w:rPr>
          <w:rFonts w:ascii="Candara" w:hAnsi="Candara"/>
          <w:noProof/>
        </w:rPr>
        <w:drawing>
          <wp:inline distT="0" distB="0" distL="0" distR="0" wp14:anchorId="116B1383" wp14:editId="58235B64">
            <wp:extent cx="5731510" cy="3682365"/>
            <wp:effectExtent l="0" t="0" r="2540" b="13335"/>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BF393EF" w14:textId="77777777" w:rsidR="00000F0C" w:rsidRPr="0016235B" w:rsidRDefault="00000F0C" w:rsidP="0075517F">
      <w:pPr>
        <w:rPr>
          <w:rFonts w:ascii="Candara" w:hAnsi="Candara"/>
        </w:rPr>
      </w:pPr>
    </w:p>
    <w:p w14:paraId="3A7EF02C" w14:textId="77777777" w:rsidR="00000F0C" w:rsidRPr="0016235B" w:rsidRDefault="00000F0C" w:rsidP="0075517F">
      <w:pPr>
        <w:rPr>
          <w:rFonts w:ascii="Candara" w:hAnsi="Candara"/>
        </w:rPr>
      </w:pPr>
    </w:p>
    <w:p w14:paraId="32D0923D" w14:textId="77777777" w:rsidR="00000F0C" w:rsidRPr="0016235B" w:rsidRDefault="00000F0C" w:rsidP="0075517F">
      <w:pPr>
        <w:rPr>
          <w:rFonts w:ascii="Candara" w:hAnsi="Candara"/>
        </w:rPr>
      </w:pPr>
    </w:p>
    <w:p w14:paraId="0687083A" w14:textId="7012B3D9" w:rsidR="00000F0C" w:rsidRPr="0016235B" w:rsidRDefault="00000F0C" w:rsidP="0075517F">
      <w:pPr>
        <w:rPr>
          <w:rFonts w:ascii="Candara" w:hAnsi="Candara"/>
          <w:b/>
          <w:sz w:val="24"/>
          <w:szCs w:val="24"/>
        </w:rPr>
      </w:pPr>
      <w:r w:rsidRPr="0016235B">
        <w:rPr>
          <w:rFonts w:ascii="Candara" w:hAnsi="Candara"/>
          <w:b/>
          <w:sz w:val="24"/>
          <w:szCs w:val="24"/>
        </w:rPr>
        <w:lastRenderedPageBreak/>
        <w:t>HIV &amp; AIDS care and support services, including treatment of opportunistic infections and provisions of palliative care</w:t>
      </w:r>
    </w:p>
    <w:p w14:paraId="5A5233CA" w14:textId="08F456F9" w:rsidR="00000F0C" w:rsidRPr="0016235B" w:rsidRDefault="00000F0C" w:rsidP="0075517F">
      <w:pPr>
        <w:rPr>
          <w:rFonts w:ascii="Candara" w:hAnsi="Candara"/>
        </w:rPr>
      </w:pPr>
      <w:r w:rsidRPr="0016235B">
        <w:rPr>
          <w:rFonts w:ascii="Candara" w:hAnsi="Candara"/>
          <w:noProof/>
        </w:rPr>
        <w:drawing>
          <wp:inline distT="0" distB="0" distL="0" distR="0" wp14:anchorId="20B9569D" wp14:editId="1018134E">
            <wp:extent cx="5915025" cy="3876675"/>
            <wp:effectExtent l="0" t="0" r="9525" b="9525"/>
            <wp:docPr id="70" name="Chart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553594A" w14:textId="77777777" w:rsidR="00000F0C" w:rsidRPr="0016235B" w:rsidRDefault="00000F0C" w:rsidP="0075517F">
      <w:pPr>
        <w:rPr>
          <w:rFonts w:ascii="Candara" w:hAnsi="Candara"/>
        </w:rPr>
      </w:pPr>
    </w:p>
    <w:tbl>
      <w:tblPr>
        <w:tblStyle w:val="TableGrid"/>
        <w:tblW w:w="0" w:type="auto"/>
        <w:tblLook w:val="04A0" w:firstRow="1" w:lastRow="0" w:firstColumn="1" w:lastColumn="0" w:noHBand="0" w:noVBand="1"/>
      </w:tblPr>
      <w:tblGrid>
        <w:gridCol w:w="9016"/>
      </w:tblGrid>
      <w:tr w:rsidR="00000F0C" w:rsidRPr="0016235B" w14:paraId="676F1B27" w14:textId="77777777" w:rsidTr="00FF2682">
        <w:tc>
          <w:tcPr>
            <w:tcW w:w="9016" w:type="dxa"/>
          </w:tcPr>
          <w:p w14:paraId="50339F32" w14:textId="77777777" w:rsidR="00000F0C" w:rsidRPr="0016235B" w:rsidRDefault="00000F0C" w:rsidP="00FF2682">
            <w:pPr>
              <w:rPr>
                <w:rFonts w:ascii="Candara" w:hAnsi="Candara"/>
                <w:b/>
              </w:rPr>
            </w:pPr>
            <w:r w:rsidRPr="0016235B">
              <w:rPr>
                <w:rFonts w:ascii="Candara" w:hAnsi="Candara"/>
                <w:b/>
              </w:rPr>
              <w:t>Key Findings</w:t>
            </w:r>
          </w:p>
        </w:tc>
      </w:tr>
      <w:tr w:rsidR="00000F0C" w:rsidRPr="0016235B" w14:paraId="638736D1" w14:textId="77777777" w:rsidTr="00ED2E24">
        <w:trPr>
          <w:trHeight w:val="885"/>
        </w:trPr>
        <w:tc>
          <w:tcPr>
            <w:tcW w:w="9016" w:type="dxa"/>
          </w:tcPr>
          <w:p w14:paraId="544301FB" w14:textId="3E40D194" w:rsidR="00000F0C" w:rsidRPr="0016235B" w:rsidRDefault="0023273C" w:rsidP="0023273C">
            <w:pPr>
              <w:pStyle w:val="ListParagraph"/>
              <w:numPr>
                <w:ilvl w:val="0"/>
                <w:numId w:val="7"/>
              </w:numPr>
              <w:jc w:val="both"/>
              <w:rPr>
                <w:rFonts w:ascii="Candara" w:hAnsi="Candara"/>
              </w:rPr>
            </w:pPr>
            <w:r w:rsidRPr="0016235B">
              <w:rPr>
                <w:rFonts w:ascii="Candara" w:hAnsi="Candara"/>
              </w:rPr>
              <w:t>83% offered HIV counselling and testing services</w:t>
            </w:r>
          </w:p>
          <w:p w14:paraId="19EA0C95" w14:textId="77777777" w:rsidR="00BC0B08" w:rsidRPr="0016235B" w:rsidRDefault="00BC0B08" w:rsidP="00BC0B08">
            <w:pPr>
              <w:pStyle w:val="ListParagraph"/>
              <w:numPr>
                <w:ilvl w:val="0"/>
                <w:numId w:val="7"/>
              </w:numPr>
              <w:jc w:val="both"/>
              <w:rPr>
                <w:rFonts w:ascii="Candara" w:hAnsi="Candara"/>
              </w:rPr>
            </w:pPr>
            <w:r w:rsidRPr="0016235B">
              <w:rPr>
                <w:rFonts w:ascii="Candara" w:hAnsi="Candara"/>
              </w:rPr>
              <w:t>42% of the facilities offered ART services.</w:t>
            </w:r>
          </w:p>
          <w:p w14:paraId="50F31E9B" w14:textId="3FE97A58" w:rsidR="00BC0B08" w:rsidRPr="0016235B" w:rsidRDefault="00BC0B08" w:rsidP="00BC0B08">
            <w:pPr>
              <w:pStyle w:val="ListParagraph"/>
              <w:numPr>
                <w:ilvl w:val="0"/>
                <w:numId w:val="7"/>
              </w:numPr>
              <w:jc w:val="both"/>
              <w:rPr>
                <w:rFonts w:ascii="Candara" w:hAnsi="Candara"/>
              </w:rPr>
            </w:pPr>
            <w:r w:rsidRPr="0016235B">
              <w:rPr>
                <w:rFonts w:ascii="Candara" w:hAnsi="Candara"/>
              </w:rPr>
              <w:t>41% of the facilities offered HIV care and support services</w:t>
            </w:r>
          </w:p>
          <w:p w14:paraId="566A11FC" w14:textId="2DCBAE5C" w:rsidR="0023273C" w:rsidRPr="0016235B" w:rsidRDefault="00955E2C" w:rsidP="00955E2C">
            <w:pPr>
              <w:pStyle w:val="ListParagraph"/>
              <w:numPr>
                <w:ilvl w:val="0"/>
                <w:numId w:val="7"/>
              </w:numPr>
              <w:jc w:val="both"/>
              <w:rPr>
                <w:rFonts w:ascii="Candara" w:hAnsi="Candara"/>
              </w:rPr>
            </w:pPr>
            <w:r w:rsidRPr="0016235B">
              <w:rPr>
                <w:rFonts w:ascii="Candara" w:hAnsi="Candara"/>
              </w:rPr>
              <w:t>87% of the facilities reported availability of HIV test kits: Rapid Determine while 50% rep</w:t>
            </w:r>
            <w:r w:rsidR="00856DFE" w:rsidRPr="0016235B">
              <w:rPr>
                <w:rFonts w:ascii="Candara" w:hAnsi="Candara"/>
              </w:rPr>
              <w:t xml:space="preserve">orted HIV testing kits: SD </w:t>
            </w:r>
            <w:proofErr w:type="spellStart"/>
            <w:r w:rsidR="00856DFE" w:rsidRPr="0016235B">
              <w:rPr>
                <w:rFonts w:ascii="Candara" w:hAnsi="Candara"/>
              </w:rPr>
              <w:t>B</w:t>
            </w:r>
            <w:r w:rsidRPr="0016235B">
              <w:rPr>
                <w:rFonts w:ascii="Candara" w:hAnsi="Candara"/>
              </w:rPr>
              <w:t>ioline</w:t>
            </w:r>
            <w:proofErr w:type="spellEnd"/>
            <w:r w:rsidRPr="0016235B">
              <w:rPr>
                <w:rFonts w:ascii="Candara" w:hAnsi="Candara"/>
              </w:rPr>
              <w:t>.</w:t>
            </w:r>
          </w:p>
          <w:p w14:paraId="7C4C625B" w14:textId="77777777" w:rsidR="00BC0B08" w:rsidRPr="0016235B" w:rsidRDefault="00BC0B08" w:rsidP="00955E2C">
            <w:pPr>
              <w:pStyle w:val="ListParagraph"/>
              <w:numPr>
                <w:ilvl w:val="0"/>
                <w:numId w:val="7"/>
              </w:numPr>
              <w:jc w:val="both"/>
              <w:rPr>
                <w:rFonts w:ascii="Candara" w:hAnsi="Candara"/>
              </w:rPr>
            </w:pPr>
            <w:r w:rsidRPr="0016235B">
              <w:rPr>
                <w:rFonts w:ascii="Candara" w:hAnsi="Candara"/>
              </w:rPr>
              <w:t>HIV &amp; AIDS antiretroviral prescription or antiretroviral treatment follow-up services were reported by at least 90% of the facilities.</w:t>
            </w:r>
          </w:p>
          <w:p w14:paraId="7FE9B081" w14:textId="77777777" w:rsidR="00BC0B08" w:rsidRPr="0016235B" w:rsidRDefault="00BC0B08" w:rsidP="00955E2C">
            <w:pPr>
              <w:pStyle w:val="ListParagraph"/>
              <w:numPr>
                <w:ilvl w:val="0"/>
                <w:numId w:val="7"/>
              </w:numPr>
              <w:jc w:val="both"/>
              <w:rPr>
                <w:rFonts w:ascii="Candara" w:hAnsi="Candara"/>
              </w:rPr>
            </w:pPr>
            <w:r w:rsidRPr="0016235B">
              <w:rPr>
                <w:rFonts w:ascii="Candara" w:hAnsi="Candara"/>
              </w:rPr>
              <w:t>The most reported service available was prescribing ART to adolescents and the least available was ART guidelines.</w:t>
            </w:r>
          </w:p>
          <w:p w14:paraId="4BC87040" w14:textId="1F9D80DB" w:rsidR="00D92855" w:rsidRPr="0016235B" w:rsidRDefault="00D92855" w:rsidP="00D92855">
            <w:pPr>
              <w:pStyle w:val="ListParagraph"/>
              <w:numPr>
                <w:ilvl w:val="0"/>
                <w:numId w:val="7"/>
              </w:numPr>
              <w:jc w:val="both"/>
              <w:rPr>
                <w:rFonts w:ascii="Candara" w:hAnsi="Candara"/>
              </w:rPr>
            </w:pPr>
            <w:r w:rsidRPr="0016235B">
              <w:rPr>
                <w:rFonts w:ascii="Candara" w:hAnsi="Candara"/>
              </w:rPr>
              <w:t>96% of the facilities reported family planning and counselling and only 20% reported treatment of Kaposi’s sarcoma.</w:t>
            </w:r>
          </w:p>
        </w:tc>
      </w:tr>
    </w:tbl>
    <w:p w14:paraId="3224E887" w14:textId="77777777" w:rsidR="0075517F" w:rsidRPr="0016235B" w:rsidRDefault="0075517F">
      <w:pPr>
        <w:rPr>
          <w:rFonts w:ascii="Candara" w:eastAsiaTheme="majorEastAsia" w:hAnsi="Candara" w:cstheme="majorBidi"/>
          <w:b/>
          <w:color w:val="2F5496" w:themeColor="accent1" w:themeShade="BF"/>
          <w:sz w:val="28"/>
          <w:szCs w:val="28"/>
        </w:rPr>
      </w:pPr>
      <w:r w:rsidRPr="0016235B">
        <w:rPr>
          <w:rFonts w:ascii="Candara" w:hAnsi="Candara"/>
          <w:b/>
          <w:sz w:val="28"/>
          <w:szCs w:val="28"/>
        </w:rPr>
        <w:br w:type="page"/>
      </w:r>
    </w:p>
    <w:p w14:paraId="09D79B29" w14:textId="7EE4FF59" w:rsidR="0033595F" w:rsidRPr="0016235B" w:rsidRDefault="0039752C" w:rsidP="005722F2">
      <w:pPr>
        <w:pStyle w:val="Heading2"/>
        <w:numPr>
          <w:ilvl w:val="1"/>
          <w:numId w:val="25"/>
        </w:numPr>
        <w:rPr>
          <w:rFonts w:ascii="Candara" w:hAnsi="Candara"/>
          <w:b/>
          <w:sz w:val="28"/>
          <w:szCs w:val="28"/>
        </w:rPr>
      </w:pPr>
      <w:bookmarkStart w:id="32" w:name="_Toc11494045"/>
      <w:r w:rsidRPr="0016235B">
        <w:rPr>
          <w:rFonts w:ascii="Candara" w:hAnsi="Candara"/>
          <w:b/>
          <w:sz w:val="28"/>
          <w:szCs w:val="28"/>
        </w:rPr>
        <w:lastRenderedPageBreak/>
        <w:t>Surgical services availability and Readiness</w:t>
      </w:r>
      <w:bookmarkEnd w:id="32"/>
    </w:p>
    <w:p w14:paraId="209E2439" w14:textId="0450801A" w:rsidR="00566F5F" w:rsidRPr="0016235B" w:rsidRDefault="00566F5F" w:rsidP="00077978">
      <w:pPr>
        <w:tabs>
          <w:tab w:val="left" w:pos="1571"/>
        </w:tabs>
        <w:jc w:val="both"/>
        <w:rPr>
          <w:rFonts w:ascii="Candara" w:eastAsia="MS Mincho" w:hAnsi="Candara"/>
          <w:sz w:val="24"/>
          <w:szCs w:val="24"/>
        </w:rPr>
      </w:pPr>
      <w:r w:rsidRPr="0016235B">
        <w:rPr>
          <w:rFonts w:ascii="Candara" w:eastAsia="MS Mincho" w:hAnsi="Candara"/>
          <w:sz w:val="24"/>
          <w:szCs w:val="24"/>
        </w:rPr>
        <w:t xml:space="preserve">The survey examined the availability of surgical services including minor surgery such as suturing, circumcision, wound debridement </w:t>
      </w:r>
      <w:r w:rsidR="00077978" w:rsidRPr="0016235B">
        <w:rPr>
          <w:rFonts w:ascii="Candara" w:eastAsia="MS Mincho" w:hAnsi="Candara"/>
          <w:sz w:val="24"/>
          <w:szCs w:val="24"/>
        </w:rPr>
        <w:t>to</w:t>
      </w:r>
      <w:r w:rsidRPr="0016235B">
        <w:rPr>
          <w:rFonts w:ascii="Candara" w:eastAsia="MS Mincho" w:hAnsi="Candara"/>
          <w:sz w:val="24"/>
          <w:szCs w:val="24"/>
        </w:rPr>
        <w:t xml:space="preserve"> caesarean section</w:t>
      </w:r>
      <w:r w:rsidR="00077978" w:rsidRPr="0016235B">
        <w:rPr>
          <w:rFonts w:ascii="Candara" w:eastAsia="MS Mincho" w:hAnsi="Candara"/>
          <w:sz w:val="24"/>
          <w:szCs w:val="24"/>
        </w:rPr>
        <w:t>s</w:t>
      </w:r>
      <w:r w:rsidRPr="0016235B">
        <w:rPr>
          <w:rFonts w:ascii="Candara" w:eastAsia="MS Mincho" w:hAnsi="Candara"/>
          <w:sz w:val="24"/>
          <w:szCs w:val="24"/>
        </w:rPr>
        <w:t xml:space="preserve"> at the facility level and the location in the facility where it’s provided. </w:t>
      </w:r>
      <w:r w:rsidR="00606757" w:rsidRPr="0016235B">
        <w:rPr>
          <w:rFonts w:ascii="Candara" w:eastAsia="MS Mincho" w:hAnsi="Candara"/>
          <w:sz w:val="24"/>
          <w:szCs w:val="24"/>
        </w:rPr>
        <w:t>Equipment</w:t>
      </w:r>
      <w:r w:rsidRPr="0016235B">
        <w:rPr>
          <w:rFonts w:ascii="Candara" w:eastAsia="MS Mincho" w:hAnsi="Candara"/>
          <w:sz w:val="24"/>
          <w:szCs w:val="24"/>
        </w:rPr>
        <w:t xml:space="preserve"> and supplies availability and </w:t>
      </w:r>
      <w:r w:rsidR="00606757" w:rsidRPr="0016235B">
        <w:rPr>
          <w:rFonts w:ascii="Candara" w:eastAsia="MS Mincho" w:hAnsi="Candara"/>
          <w:sz w:val="24"/>
          <w:szCs w:val="24"/>
        </w:rPr>
        <w:t>their</w:t>
      </w:r>
      <w:r w:rsidRPr="0016235B">
        <w:rPr>
          <w:rFonts w:ascii="Candara" w:eastAsia="MS Mincho" w:hAnsi="Candara"/>
          <w:sz w:val="24"/>
          <w:szCs w:val="24"/>
        </w:rPr>
        <w:t xml:space="preserve"> functioning at the facility</w:t>
      </w:r>
      <w:r w:rsidR="00077978" w:rsidRPr="0016235B">
        <w:rPr>
          <w:rFonts w:ascii="Candara" w:eastAsia="MS Mincho" w:hAnsi="Candara"/>
          <w:sz w:val="24"/>
          <w:szCs w:val="24"/>
        </w:rPr>
        <w:t>.</w:t>
      </w:r>
    </w:p>
    <w:p w14:paraId="7B4A17E8" w14:textId="08F75E01" w:rsidR="008B5D45" w:rsidRPr="0016235B" w:rsidRDefault="008B5D45" w:rsidP="00B3776D">
      <w:pPr>
        <w:tabs>
          <w:tab w:val="left" w:pos="1571"/>
        </w:tabs>
        <w:rPr>
          <w:rFonts w:ascii="Candara" w:hAnsi="Candara"/>
          <w:b/>
          <w:bCs/>
          <w:sz w:val="24"/>
          <w:szCs w:val="24"/>
        </w:rPr>
      </w:pPr>
      <w:r w:rsidRPr="0016235B">
        <w:rPr>
          <w:rFonts w:ascii="Candara" w:hAnsi="Candara"/>
          <w:b/>
          <w:bCs/>
          <w:sz w:val="24"/>
          <w:szCs w:val="24"/>
        </w:rPr>
        <w:t xml:space="preserve">Percent of facilities </w:t>
      </w:r>
      <w:r w:rsidR="00077978" w:rsidRPr="0016235B">
        <w:rPr>
          <w:rFonts w:ascii="Candara" w:hAnsi="Candara"/>
          <w:b/>
          <w:bCs/>
          <w:sz w:val="24"/>
          <w:szCs w:val="24"/>
        </w:rPr>
        <w:t xml:space="preserve">that </w:t>
      </w:r>
      <w:r w:rsidRPr="0016235B">
        <w:rPr>
          <w:rFonts w:ascii="Candara" w:hAnsi="Candara"/>
          <w:b/>
          <w:bCs/>
          <w:sz w:val="24"/>
          <w:szCs w:val="24"/>
        </w:rPr>
        <w:t xml:space="preserve">offer </w:t>
      </w:r>
      <w:r w:rsidR="00077978" w:rsidRPr="0016235B">
        <w:rPr>
          <w:rFonts w:ascii="Candara" w:hAnsi="Candara"/>
          <w:b/>
          <w:bCs/>
          <w:sz w:val="24"/>
          <w:szCs w:val="24"/>
        </w:rPr>
        <w:t xml:space="preserve">basic </w:t>
      </w:r>
      <w:r w:rsidRPr="0016235B">
        <w:rPr>
          <w:rFonts w:ascii="Candara" w:hAnsi="Candara"/>
          <w:b/>
          <w:bCs/>
          <w:sz w:val="24"/>
          <w:szCs w:val="24"/>
        </w:rPr>
        <w:t>surgical services (N=72)</w:t>
      </w:r>
    </w:p>
    <w:p w14:paraId="7E4B433E" w14:textId="37ABFCB6" w:rsidR="008B5D45" w:rsidRPr="0016235B" w:rsidRDefault="00BF0535" w:rsidP="00CF3C2B">
      <w:pPr>
        <w:tabs>
          <w:tab w:val="left" w:pos="1571"/>
        </w:tabs>
        <w:rPr>
          <w:rFonts w:ascii="Candara" w:hAnsi="Candara"/>
        </w:rPr>
      </w:pPr>
      <w:r w:rsidRPr="0016235B">
        <w:rPr>
          <w:rFonts w:ascii="Candara" w:hAnsi="Candara"/>
          <w:noProof/>
        </w:rPr>
        <w:drawing>
          <wp:inline distT="0" distB="0" distL="0" distR="0" wp14:anchorId="5C0AA8A8" wp14:editId="415E13CD">
            <wp:extent cx="5486400" cy="3438525"/>
            <wp:effectExtent l="0" t="0" r="0"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F1E4105" w14:textId="0A33DE0E" w:rsidR="00077978" w:rsidRPr="0016235B" w:rsidRDefault="00077978" w:rsidP="00077978">
      <w:pPr>
        <w:tabs>
          <w:tab w:val="left" w:pos="1571"/>
        </w:tabs>
        <w:rPr>
          <w:rFonts w:ascii="Candara" w:hAnsi="Candara"/>
          <w:b/>
          <w:bCs/>
          <w:sz w:val="24"/>
          <w:szCs w:val="24"/>
        </w:rPr>
      </w:pPr>
      <w:r w:rsidRPr="0016235B">
        <w:rPr>
          <w:rFonts w:ascii="Candara" w:hAnsi="Candara"/>
          <w:b/>
          <w:bCs/>
          <w:sz w:val="24"/>
          <w:szCs w:val="24"/>
        </w:rPr>
        <w:t>Percent of facilities that offer comprehensive surgical services (N=72)</w:t>
      </w:r>
    </w:p>
    <w:p w14:paraId="14DDF115" w14:textId="2FB7773D" w:rsidR="00077978" w:rsidRPr="0016235B" w:rsidRDefault="00BF0535" w:rsidP="00CF3C2B">
      <w:pPr>
        <w:tabs>
          <w:tab w:val="left" w:pos="1571"/>
        </w:tabs>
        <w:rPr>
          <w:rFonts w:ascii="Candara" w:hAnsi="Candara"/>
        </w:rPr>
      </w:pPr>
      <w:r w:rsidRPr="0016235B">
        <w:rPr>
          <w:rFonts w:ascii="Candara" w:hAnsi="Candara"/>
          <w:noProof/>
        </w:rPr>
        <w:drawing>
          <wp:inline distT="0" distB="0" distL="0" distR="0" wp14:anchorId="2C662778" wp14:editId="4FB03E85">
            <wp:extent cx="5819775" cy="3952875"/>
            <wp:effectExtent l="0" t="0" r="9525"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bl>
      <w:tblPr>
        <w:tblStyle w:val="TableGrid"/>
        <w:tblW w:w="0" w:type="auto"/>
        <w:tblLook w:val="04A0" w:firstRow="1" w:lastRow="0" w:firstColumn="1" w:lastColumn="0" w:noHBand="0" w:noVBand="1"/>
      </w:tblPr>
      <w:tblGrid>
        <w:gridCol w:w="9016"/>
      </w:tblGrid>
      <w:tr w:rsidR="002E1B5C" w:rsidRPr="0016235B" w14:paraId="7E28FC83" w14:textId="77777777" w:rsidTr="00BF0535">
        <w:tc>
          <w:tcPr>
            <w:tcW w:w="9016" w:type="dxa"/>
          </w:tcPr>
          <w:p w14:paraId="32839CF4" w14:textId="77777777" w:rsidR="002E1B5C" w:rsidRPr="0016235B" w:rsidRDefault="002E1B5C" w:rsidP="00672B04">
            <w:pPr>
              <w:rPr>
                <w:rFonts w:ascii="Candara" w:hAnsi="Candara"/>
                <w:b/>
              </w:rPr>
            </w:pPr>
            <w:r w:rsidRPr="0016235B">
              <w:rPr>
                <w:rFonts w:ascii="Candara" w:hAnsi="Candara"/>
                <w:b/>
              </w:rPr>
              <w:lastRenderedPageBreak/>
              <w:t>Key Findings</w:t>
            </w:r>
          </w:p>
        </w:tc>
      </w:tr>
      <w:tr w:rsidR="002E1B5C" w:rsidRPr="0016235B" w14:paraId="1BBEB1F9" w14:textId="77777777" w:rsidTr="00BF0535">
        <w:tc>
          <w:tcPr>
            <w:tcW w:w="9016" w:type="dxa"/>
          </w:tcPr>
          <w:p w14:paraId="056C3B2C" w14:textId="0B2D4409" w:rsidR="002E1B5C" w:rsidRPr="0016235B" w:rsidRDefault="002E1B5C" w:rsidP="005722F2">
            <w:pPr>
              <w:pStyle w:val="ListParagraph"/>
              <w:numPr>
                <w:ilvl w:val="0"/>
                <w:numId w:val="7"/>
              </w:numPr>
              <w:jc w:val="both"/>
              <w:rPr>
                <w:rFonts w:ascii="Candara" w:hAnsi="Candara"/>
              </w:rPr>
            </w:pPr>
            <w:r w:rsidRPr="0016235B">
              <w:rPr>
                <w:rFonts w:ascii="Candara" w:hAnsi="Candara"/>
              </w:rPr>
              <w:t>The national average availability was 43% of all the facilities assessed. 72 of the 16</w:t>
            </w:r>
            <w:r w:rsidR="00BF0535" w:rsidRPr="0016235B">
              <w:rPr>
                <w:rFonts w:ascii="Candara" w:hAnsi="Candara"/>
              </w:rPr>
              <w:t>6 facilities provide</w:t>
            </w:r>
            <w:r w:rsidR="002A4849">
              <w:rPr>
                <w:rFonts w:ascii="Candara" w:hAnsi="Candara"/>
              </w:rPr>
              <w:t>d</w:t>
            </w:r>
            <w:r w:rsidR="00BF0535" w:rsidRPr="0016235B">
              <w:rPr>
                <w:rFonts w:ascii="Candara" w:hAnsi="Candara"/>
              </w:rPr>
              <w:t xml:space="preserve"> surgical services</w:t>
            </w:r>
          </w:p>
          <w:p w14:paraId="2426AF5F" w14:textId="74E698BE" w:rsidR="002E1B5C" w:rsidRPr="0016235B" w:rsidRDefault="002E1B5C" w:rsidP="005722F2">
            <w:pPr>
              <w:pStyle w:val="ListParagraph"/>
              <w:numPr>
                <w:ilvl w:val="0"/>
                <w:numId w:val="7"/>
              </w:numPr>
              <w:jc w:val="both"/>
              <w:rPr>
                <w:rFonts w:ascii="Candara" w:hAnsi="Candara"/>
              </w:rPr>
            </w:pPr>
            <w:r w:rsidRPr="0016235B">
              <w:rPr>
                <w:rFonts w:ascii="Candara" w:hAnsi="Candara"/>
              </w:rPr>
              <w:t xml:space="preserve">The most available services in 82% of the 72 facilities were Incision and Drainage of abscesses, Dilatation and Curettage, </w:t>
            </w:r>
            <w:r w:rsidR="002A4849">
              <w:rPr>
                <w:rFonts w:ascii="Candara" w:hAnsi="Candara"/>
              </w:rPr>
              <w:t>S</w:t>
            </w:r>
            <w:r w:rsidR="00BF0535" w:rsidRPr="0016235B">
              <w:rPr>
                <w:rFonts w:ascii="Candara" w:hAnsi="Candara"/>
              </w:rPr>
              <w:t xml:space="preserve">uturing, </w:t>
            </w:r>
            <w:r w:rsidRPr="0016235B">
              <w:rPr>
                <w:rFonts w:ascii="Candara" w:hAnsi="Candara"/>
              </w:rPr>
              <w:t>Elective Hernia Repair and Epis</w:t>
            </w:r>
            <w:r w:rsidR="00BF0535" w:rsidRPr="0016235B">
              <w:rPr>
                <w:rFonts w:ascii="Candara" w:hAnsi="Candara"/>
              </w:rPr>
              <w:t>iotomy</w:t>
            </w:r>
          </w:p>
          <w:p w14:paraId="7B22A5AD" w14:textId="654C363B" w:rsidR="002E1B5C" w:rsidRPr="0016235B" w:rsidRDefault="002E1B5C" w:rsidP="005722F2">
            <w:pPr>
              <w:pStyle w:val="ListParagraph"/>
              <w:numPr>
                <w:ilvl w:val="0"/>
                <w:numId w:val="7"/>
              </w:numPr>
              <w:jc w:val="both"/>
              <w:rPr>
                <w:rFonts w:ascii="Candara" w:hAnsi="Candara"/>
              </w:rPr>
            </w:pPr>
            <w:r w:rsidRPr="0016235B">
              <w:rPr>
                <w:rFonts w:ascii="Candara" w:hAnsi="Candara"/>
              </w:rPr>
              <w:t xml:space="preserve">The least available services were chest tube insertion, </w:t>
            </w:r>
            <w:r w:rsidR="00BF0535" w:rsidRPr="0016235B">
              <w:rPr>
                <w:rFonts w:ascii="Candara" w:hAnsi="Candara"/>
              </w:rPr>
              <w:t>Cricothyroidotomy</w:t>
            </w:r>
            <w:r w:rsidRPr="0016235B">
              <w:rPr>
                <w:rFonts w:ascii="Candara" w:hAnsi="Candara"/>
              </w:rPr>
              <w:t xml:space="preserve"> and closed repair of fractures which were in less than 20% of the 72 facilit</w:t>
            </w:r>
            <w:r w:rsidR="00BF0535" w:rsidRPr="0016235B">
              <w:rPr>
                <w:rFonts w:ascii="Candara" w:hAnsi="Candara"/>
              </w:rPr>
              <w:t>ies providing surgical services</w:t>
            </w:r>
          </w:p>
          <w:p w14:paraId="7B3AD9B3" w14:textId="77777777" w:rsidR="002E1B5C" w:rsidRPr="0016235B" w:rsidRDefault="002E1B5C" w:rsidP="005722F2">
            <w:pPr>
              <w:pStyle w:val="ListParagraph"/>
              <w:numPr>
                <w:ilvl w:val="0"/>
                <w:numId w:val="7"/>
              </w:numPr>
              <w:jc w:val="both"/>
              <w:rPr>
                <w:rFonts w:ascii="Candara" w:hAnsi="Candara"/>
              </w:rPr>
            </w:pPr>
            <w:r w:rsidRPr="0016235B">
              <w:rPr>
                <w:rFonts w:ascii="Candara" w:hAnsi="Candara"/>
              </w:rPr>
              <w:t>None of the assessed facilities provided all the surgical services inquired about</w:t>
            </w:r>
          </w:p>
        </w:tc>
      </w:tr>
    </w:tbl>
    <w:p w14:paraId="3B09D0D8" w14:textId="4A9BDD38" w:rsidR="008B5D45" w:rsidRPr="0016235B" w:rsidRDefault="008B5D45" w:rsidP="008B5D45">
      <w:pPr>
        <w:rPr>
          <w:rFonts w:ascii="Candara" w:hAnsi="Candara"/>
        </w:rPr>
      </w:pPr>
    </w:p>
    <w:p w14:paraId="0A85120B" w14:textId="28407B45" w:rsidR="002E1B5C" w:rsidRPr="0016235B" w:rsidRDefault="00566F5F" w:rsidP="001E611E">
      <w:pPr>
        <w:spacing w:after="0" w:line="240" w:lineRule="auto"/>
        <w:rPr>
          <w:rFonts w:ascii="Candara" w:eastAsia="Times New Roman" w:hAnsi="Candara" w:cs="Calibri"/>
          <w:b/>
          <w:bCs/>
          <w:sz w:val="24"/>
          <w:szCs w:val="24"/>
        </w:rPr>
      </w:pPr>
      <w:r w:rsidRPr="0016235B">
        <w:rPr>
          <w:rFonts w:ascii="Candara" w:eastAsia="Times New Roman" w:hAnsi="Candara" w:cs="Calibri"/>
          <w:b/>
          <w:bCs/>
          <w:sz w:val="24"/>
          <w:szCs w:val="24"/>
        </w:rPr>
        <w:t xml:space="preserve">Percentage of facilities offering surgical services by key </w:t>
      </w:r>
      <w:proofErr w:type="spellStart"/>
      <w:r w:rsidRPr="0016235B">
        <w:rPr>
          <w:rFonts w:ascii="Candara" w:eastAsia="Times New Roman" w:hAnsi="Candara" w:cs="Calibri"/>
          <w:b/>
          <w:bCs/>
          <w:sz w:val="24"/>
          <w:szCs w:val="24"/>
        </w:rPr>
        <w:t>stratifiers</w:t>
      </w:r>
      <w:proofErr w:type="spellEnd"/>
      <w:r w:rsidRPr="0016235B">
        <w:rPr>
          <w:rFonts w:ascii="Candara" w:eastAsia="Times New Roman" w:hAnsi="Candara" w:cs="Calibri"/>
          <w:b/>
          <w:bCs/>
          <w:sz w:val="24"/>
          <w:szCs w:val="24"/>
        </w:rPr>
        <w:t xml:space="preserve"> (N=16</w:t>
      </w:r>
      <w:r w:rsidR="00AF7EEF" w:rsidRPr="0016235B">
        <w:rPr>
          <w:rFonts w:ascii="Candara" w:eastAsia="Times New Roman" w:hAnsi="Candara" w:cs="Calibri"/>
          <w:b/>
          <w:bCs/>
          <w:sz w:val="24"/>
          <w:szCs w:val="24"/>
        </w:rPr>
        <w:t>6</w:t>
      </w:r>
      <w:r w:rsidRPr="0016235B">
        <w:rPr>
          <w:rFonts w:ascii="Candara" w:eastAsia="Times New Roman" w:hAnsi="Candara" w:cs="Calibri"/>
          <w:b/>
          <w:bCs/>
          <w:sz w:val="24"/>
          <w:szCs w:val="24"/>
        </w:rPr>
        <w:t>)</w:t>
      </w:r>
    </w:p>
    <w:p w14:paraId="70ECAFA5" w14:textId="7B604F75" w:rsidR="00566F5F" w:rsidRPr="0016235B" w:rsidRDefault="00566F5F" w:rsidP="00960E59">
      <w:pPr>
        <w:spacing w:after="0" w:line="240" w:lineRule="auto"/>
        <w:jc w:val="center"/>
        <w:rPr>
          <w:rFonts w:ascii="Candara" w:eastAsia="Times New Roman" w:hAnsi="Candara" w:cs="Calibri"/>
          <w:b/>
          <w:bCs/>
          <w:sz w:val="28"/>
          <w:szCs w:val="28"/>
          <w:u w:val="single"/>
        </w:rPr>
      </w:pPr>
      <w:r w:rsidRPr="0016235B">
        <w:rPr>
          <w:rFonts w:ascii="Candara" w:hAnsi="Candara"/>
          <w:noProof/>
        </w:rPr>
        <w:drawing>
          <wp:inline distT="0" distB="0" distL="0" distR="0" wp14:anchorId="02499FDF" wp14:editId="2DB9D97A">
            <wp:extent cx="5943600" cy="4219575"/>
            <wp:effectExtent l="0" t="0" r="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38D52BBF" w14:textId="77777777" w:rsidR="001E611E" w:rsidRPr="0016235B" w:rsidRDefault="001E611E" w:rsidP="00960E59">
      <w:pPr>
        <w:spacing w:after="0" w:line="240" w:lineRule="auto"/>
        <w:jc w:val="center"/>
        <w:rPr>
          <w:rFonts w:ascii="Candara" w:eastAsia="Times New Roman" w:hAnsi="Candara" w:cs="Calibri"/>
          <w:b/>
          <w:bCs/>
          <w:sz w:val="28"/>
          <w:szCs w:val="28"/>
          <w:u w:val="single"/>
        </w:rPr>
      </w:pPr>
    </w:p>
    <w:tbl>
      <w:tblPr>
        <w:tblStyle w:val="TableGrid"/>
        <w:tblW w:w="0" w:type="auto"/>
        <w:tblLook w:val="04A0" w:firstRow="1" w:lastRow="0" w:firstColumn="1" w:lastColumn="0" w:noHBand="0" w:noVBand="1"/>
      </w:tblPr>
      <w:tblGrid>
        <w:gridCol w:w="9242"/>
      </w:tblGrid>
      <w:tr w:rsidR="00566F5F" w:rsidRPr="0016235B" w14:paraId="33E5204E" w14:textId="77777777" w:rsidTr="00566F5F">
        <w:tc>
          <w:tcPr>
            <w:tcW w:w="9350" w:type="dxa"/>
          </w:tcPr>
          <w:p w14:paraId="1B9B67AD" w14:textId="41AF61A6" w:rsidR="00566F5F" w:rsidRPr="0016235B" w:rsidRDefault="00566F5F" w:rsidP="001E611E">
            <w:pPr>
              <w:rPr>
                <w:rFonts w:ascii="Candara" w:eastAsia="Times New Roman" w:hAnsi="Candara" w:cs="Calibri"/>
                <w:b/>
                <w:bCs/>
              </w:rPr>
            </w:pPr>
            <w:r w:rsidRPr="0016235B">
              <w:rPr>
                <w:rFonts w:ascii="Candara" w:eastAsia="Times New Roman" w:hAnsi="Candara" w:cs="Calibri"/>
                <w:b/>
                <w:bCs/>
              </w:rPr>
              <w:t>Key findings</w:t>
            </w:r>
          </w:p>
        </w:tc>
      </w:tr>
      <w:tr w:rsidR="00566F5F" w:rsidRPr="0016235B" w14:paraId="5CF7896D" w14:textId="77777777" w:rsidTr="00566F5F">
        <w:tc>
          <w:tcPr>
            <w:tcW w:w="9350" w:type="dxa"/>
          </w:tcPr>
          <w:p w14:paraId="6B4EB7E3" w14:textId="6AB21466" w:rsidR="00386831" w:rsidRPr="0016235B" w:rsidRDefault="0047384B" w:rsidP="005722F2">
            <w:pPr>
              <w:pStyle w:val="ListParagraph"/>
              <w:numPr>
                <w:ilvl w:val="0"/>
                <w:numId w:val="13"/>
              </w:numPr>
              <w:jc w:val="both"/>
              <w:rPr>
                <w:rFonts w:ascii="Candara" w:eastAsia="Times New Roman" w:hAnsi="Candara" w:cs="Calibri"/>
                <w:bCs/>
              </w:rPr>
            </w:pPr>
            <w:r w:rsidRPr="0016235B">
              <w:rPr>
                <w:rFonts w:ascii="Candara" w:eastAsia="Times New Roman" w:hAnsi="Candara" w:cs="Calibri"/>
                <w:bCs/>
              </w:rPr>
              <w:t>Of the</w:t>
            </w:r>
            <w:r w:rsidR="00386831" w:rsidRPr="0016235B">
              <w:rPr>
                <w:rFonts w:ascii="Candara" w:eastAsia="Times New Roman" w:hAnsi="Candara" w:cs="Calibri"/>
                <w:bCs/>
              </w:rPr>
              <w:t xml:space="preserve"> 43% </w:t>
            </w:r>
            <w:r w:rsidRPr="0016235B">
              <w:rPr>
                <w:rFonts w:ascii="Candara" w:eastAsia="Times New Roman" w:hAnsi="Candara" w:cs="Calibri"/>
                <w:bCs/>
              </w:rPr>
              <w:t>health facilities offering surgical services</w:t>
            </w:r>
          </w:p>
          <w:p w14:paraId="7724BD23" w14:textId="5786C63F" w:rsidR="00566F5F" w:rsidRPr="0016235B" w:rsidRDefault="00386831" w:rsidP="005722F2">
            <w:pPr>
              <w:pStyle w:val="ListParagraph"/>
              <w:numPr>
                <w:ilvl w:val="1"/>
                <w:numId w:val="13"/>
              </w:numPr>
              <w:jc w:val="both"/>
              <w:rPr>
                <w:rFonts w:ascii="Candara" w:eastAsia="Times New Roman" w:hAnsi="Candara" w:cs="Calibri"/>
                <w:bCs/>
              </w:rPr>
            </w:pPr>
            <w:r w:rsidRPr="0016235B">
              <w:rPr>
                <w:rFonts w:ascii="Candara" w:eastAsia="Times New Roman" w:hAnsi="Candara" w:cs="Calibri"/>
                <w:bCs/>
              </w:rPr>
              <w:t>All</w:t>
            </w:r>
            <w:r w:rsidR="00566F5F" w:rsidRPr="0016235B">
              <w:rPr>
                <w:rFonts w:ascii="Candara" w:eastAsia="Times New Roman" w:hAnsi="Candara" w:cs="Calibri"/>
                <w:bCs/>
              </w:rPr>
              <w:t xml:space="preserve"> hospitals </w:t>
            </w:r>
            <w:r w:rsidRPr="0016235B">
              <w:rPr>
                <w:rFonts w:ascii="Candara" w:eastAsia="Times New Roman" w:hAnsi="Candara" w:cs="Calibri"/>
                <w:bCs/>
              </w:rPr>
              <w:t xml:space="preserve">and 80% of HC IV </w:t>
            </w:r>
            <w:r w:rsidR="00566F5F" w:rsidRPr="0016235B">
              <w:rPr>
                <w:rFonts w:ascii="Candara" w:eastAsia="Times New Roman" w:hAnsi="Candara" w:cs="Calibri"/>
                <w:bCs/>
              </w:rPr>
              <w:t xml:space="preserve">offered surgical services </w:t>
            </w:r>
            <w:r w:rsidRPr="0016235B">
              <w:rPr>
                <w:rFonts w:ascii="Candara" w:eastAsia="Times New Roman" w:hAnsi="Candara" w:cs="Calibri"/>
                <w:bCs/>
              </w:rPr>
              <w:t xml:space="preserve"> </w:t>
            </w:r>
          </w:p>
          <w:p w14:paraId="0915A625" w14:textId="4D7EA948" w:rsidR="00386831" w:rsidRPr="0016235B" w:rsidRDefault="00386831" w:rsidP="005722F2">
            <w:pPr>
              <w:pStyle w:val="ListParagraph"/>
              <w:numPr>
                <w:ilvl w:val="1"/>
                <w:numId w:val="13"/>
              </w:numPr>
              <w:jc w:val="both"/>
              <w:rPr>
                <w:rFonts w:ascii="Candara" w:eastAsia="Times New Roman" w:hAnsi="Candara" w:cs="Calibri"/>
                <w:bCs/>
              </w:rPr>
            </w:pPr>
            <w:r w:rsidRPr="0016235B">
              <w:rPr>
                <w:rFonts w:ascii="Candara" w:eastAsia="Times New Roman" w:hAnsi="Candara" w:cs="Calibri"/>
                <w:bCs/>
              </w:rPr>
              <w:t>30% of HC</w:t>
            </w:r>
            <w:r w:rsidR="0047384B" w:rsidRPr="0016235B">
              <w:rPr>
                <w:rFonts w:ascii="Candara" w:eastAsia="Times New Roman" w:hAnsi="Candara" w:cs="Calibri"/>
                <w:bCs/>
              </w:rPr>
              <w:t xml:space="preserve"> </w:t>
            </w:r>
            <w:r w:rsidRPr="0016235B">
              <w:rPr>
                <w:rFonts w:ascii="Candara" w:eastAsia="Times New Roman" w:hAnsi="Candara" w:cs="Calibri"/>
                <w:bCs/>
              </w:rPr>
              <w:t>II provide</w:t>
            </w:r>
            <w:r w:rsidR="002A4849">
              <w:rPr>
                <w:rFonts w:ascii="Candara" w:eastAsia="Times New Roman" w:hAnsi="Candara" w:cs="Calibri"/>
                <w:bCs/>
              </w:rPr>
              <w:t>d</w:t>
            </w:r>
            <w:r w:rsidRPr="0016235B">
              <w:rPr>
                <w:rFonts w:ascii="Candara" w:eastAsia="Times New Roman" w:hAnsi="Candara" w:cs="Calibri"/>
                <w:bCs/>
              </w:rPr>
              <w:t xml:space="preserve"> surgical services </w:t>
            </w:r>
          </w:p>
          <w:p w14:paraId="7FA0F2AB" w14:textId="6A468CDF" w:rsidR="00386831" w:rsidRPr="0016235B" w:rsidRDefault="00386831" w:rsidP="005722F2">
            <w:pPr>
              <w:pStyle w:val="ListParagraph"/>
              <w:numPr>
                <w:ilvl w:val="0"/>
                <w:numId w:val="13"/>
              </w:numPr>
              <w:jc w:val="both"/>
              <w:rPr>
                <w:rFonts w:ascii="Candara" w:eastAsia="Times New Roman" w:hAnsi="Candara" w:cs="Calibri"/>
                <w:bCs/>
              </w:rPr>
            </w:pPr>
            <w:r w:rsidRPr="0016235B">
              <w:rPr>
                <w:rFonts w:ascii="Candara" w:eastAsia="Times New Roman" w:hAnsi="Candara" w:cs="Calibri"/>
                <w:bCs/>
              </w:rPr>
              <w:t xml:space="preserve">More private </w:t>
            </w:r>
            <w:r w:rsidR="00862D67" w:rsidRPr="0016235B">
              <w:rPr>
                <w:rFonts w:ascii="Candara" w:eastAsia="Times New Roman" w:hAnsi="Candara" w:cs="Calibri"/>
                <w:bCs/>
              </w:rPr>
              <w:t>facilities (</w:t>
            </w:r>
            <w:r w:rsidRPr="0016235B">
              <w:rPr>
                <w:rFonts w:ascii="Candara" w:eastAsia="Times New Roman" w:hAnsi="Candara" w:cs="Calibri"/>
                <w:bCs/>
              </w:rPr>
              <w:t>48%) offer</w:t>
            </w:r>
            <w:r w:rsidR="002A4849">
              <w:rPr>
                <w:rFonts w:ascii="Candara" w:eastAsia="Times New Roman" w:hAnsi="Candara" w:cs="Calibri"/>
                <w:bCs/>
              </w:rPr>
              <w:t>ed</w:t>
            </w:r>
            <w:r w:rsidRPr="0016235B">
              <w:rPr>
                <w:rFonts w:ascii="Candara" w:eastAsia="Times New Roman" w:hAnsi="Candara" w:cs="Calibri"/>
                <w:bCs/>
              </w:rPr>
              <w:t xml:space="preserve"> surgical services than public </w:t>
            </w:r>
            <w:r w:rsidR="00862D67" w:rsidRPr="0016235B">
              <w:rPr>
                <w:rFonts w:ascii="Candara" w:eastAsia="Times New Roman" w:hAnsi="Candara" w:cs="Calibri"/>
                <w:bCs/>
              </w:rPr>
              <w:t>facilities (</w:t>
            </w:r>
            <w:r w:rsidRPr="0016235B">
              <w:rPr>
                <w:rFonts w:ascii="Candara" w:eastAsia="Times New Roman" w:hAnsi="Candara" w:cs="Calibri"/>
                <w:bCs/>
              </w:rPr>
              <w:t>38%)</w:t>
            </w:r>
          </w:p>
          <w:p w14:paraId="78151C9C" w14:textId="4A222971" w:rsidR="00386831" w:rsidRPr="0016235B" w:rsidRDefault="00386831" w:rsidP="005722F2">
            <w:pPr>
              <w:pStyle w:val="ListParagraph"/>
              <w:numPr>
                <w:ilvl w:val="0"/>
                <w:numId w:val="13"/>
              </w:numPr>
              <w:jc w:val="both"/>
              <w:rPr>
                <w:rFonts w:ascii="Candara" w:eastAsia="Times New Roman" w:hAnsi="Candara" w:cs="Calibri"/>
                <w:bCs/>
              </w:rPr>
            </w:pPr>
            <w:r w:rsidRPr="0016235B">
              <w:rPr>
                <w:rFonts w:ascii="Candara" w:eastAsia="Times New Roman" w:hAnsi="Candara" w:cs="Calibri"/>
                <w:bCs/>
              </w:rPr>
              <w:t>Karamoja region had the least avai</w:t>
            </w:r>
            <w:r w:rsidR="001E611E" w:rsidRPr="0016235B">
              <w:rPr>
                <w:rFonts w:ascii="Candara" w:eastAsia="Times New Roman" w:hAnsi="Candara" w:cs="Calibri"/>
                <w:bCs/>
              </w:rPr>
              <w:t>la</w:t>
            </w:r>
            <w:r w:rsidRPr="0016235B">
              <w:rPr>
                <w:rFonts w:ascii="Candara" w:eastAsia="Times New Roman" w:hAnsi="Candara" w:cs="Calibri"/>
                <w:bCs/>
              </w:rPr>
              <w:t xml:space="preserve">bility of surgical </w:t>
            </w:r>
            <w:r w:rsidR="00862D67" w:rsidRPr="0016235B">
              <w:rPr>
                <w:rFonts w:ascii="Candara" w:eastAsia="Times New Roman" w:hAnsi="Candara" w:cs="Calibri"/>
                <w:bCs/>
              </w:rPr>
              <w:t>services</w:t>
            </w:r>
            <w:r w:rsidR="001E611E" w:rsidRPr="0016235B">
              <w:rPr>
                <w:rFonts w:ascii="Candara" w:eastAsia="Times New Roman" w:hAnsi="Candara" w:cs="Calibri"/>
                <w:bCs/>
              </w:rPr>
              <w:t xml:space="preserve"> </w:t>
            </w:r>
            <w:r w:rsidR="00862D67" w:rsidRPr="0016235B">
              <w:rPr>
                <w:rFonts w:ascii="Candara" w:eastAsia="Times New Roman" w:hAnsi="Candara" w:cs="Calibri"/>
                <w:bCs/>
              </w:rPr>
              <w:t xml:space="preserve">(1%) and Central 1 Region had the highest </w:t>
            </w:r>
            <w:r w:rsidR="002A4849">
              <w:rPr>
                <w:rFonts w:ascii="Candara" w:eastAsia="Times New Roman" w:hAnsi="Candara" w:cs="Calibri"/>
                <w:bCs/>
              </w:rPr>
              <w:t>at</w:t>
            </w:r>
            <w:r w:rsidR="00862D67" w:rsidRPr="0016235B">
              <w:rPr>
                <w:rFonts w:ascii="Candara" w:eastAsia="Times New Roman" w:hAnsi="Candara" w:cs="Calibri"/>
                <w:bCs/>
              </w:rPr>
              <w:t xml:space="preserve"> 65% </w:t>
            </w:r>
          </w:p>
        </w:tc>
      </w:tr>
    </w:tbl>
    <w:p w14:paraId="3759B6B1" w14:textId="77777777" w:rsidR="00566F5F" w:rsidRPr="0016235B" w:rsidRDefault="00566F5F" w:rsidP="00960E59">
      <w:pPr>
        <w:spacing w:after="0" w:line="240" w:lineRule="auto"/>
        <w:jc w:val="center"/>
        <w:rPr>
          <w:rFonts w:ascii="Candara" w:eastAsia="Times New Roman" w:hAnsi="Candara" w:cs="Calibri"/>
          <w:b/>
          <w:bCs/>
          <w:sz w:val="28"/>
          <w:szCs w:val="28"/>
          <w:u w:val="single"/>
        </w:rPr>
      </w:pPr>
    </w:p>
    <w:p w14:paraId="7DB83CFD" w14:textId="77777777" w:rsidR="002E1B5C" w:rsidRPr="0016235B" w:rsidRDefault="002E1B5C" w:rsidP="00960E59">
      <w:pPr>
        <w:spacing w:after="0" w:line="240" w:lineRule="auto"/>
        <w:jc w:val="center"/>
        <w:rPr>
          <w:rFonts w:ascii="Candara" w:eastAsia="Times New Roman" w:hAnsi="Candara" w:cs="Calibri"/>
          <w:b/>
          <w:bCs/>
          <w:sz w:val="28"/>
          <w:szCs w:val="28"/>
          <w:u w:val="single"/>
        </w:rPr>
      </w:pPr>
    </w:p>
    <w:p w14:paraId="2BA28A3F" w14:textId="77777777" w:rsidR="00FE50C0" w:rsidRPr="0016235B" w:rsidRDefault="00FE50C0" w:rsidP="00FE50C0">
      <w:pPr>
        <w:spacing w:after="0" w:line="240" w:lineRule="auto"/>
        <w:rPr>
          <w:rFonts w:ascii="Candara" w:eastAsia="Times New Roman" w:hAnsi="Candara" w:cs="Calibri"/>
          <w:b/>
          <w:bCs/>
          <w:sz w:val="24"/>
          <w:szCs w:val="24"/>
        </w:rPr>
      </w:pPr>
    </w:p>
    <w:p w14:paraId="58827978" w14:textId="159E57E6" w:rsidR="006A79FF" w:rsidRPr="0016235B" w:rsidRDefault="006A79FF" w:rsidP="008B5D45">
      <w:pPr>
        <w:rPr>
          <w:rFonts w:ascii="Candara" w:hAnsi="Candara"/>
        </w:rPr>
      </w:pPr>
    </w:p>
    <w:p w14:paraId="769ED131" w14:textId="45CC3F4F" w:rsidR="00FE50C0" w:rsidRPr="0016235B" w:rsidRDefault="00FE50C0" w:rsidP="008B5D45">
      <w:pPr>
        <w:rPr>
          <w:rFonts w:ascii="Candara" w:hAnsi="Candara"/>
        </w:rPr>
      </w:pPr>
    </w:p>
    <w:p w14:paraId="47A592F0" w14:textId="3602E7D7" w:rsidR="00FE50C0" w:rsidRPr="0016235B" w:rsidRDefault="00FE50C0" w:rsidP="008B5D45">
      <w:pPr>
        <w:rPr>
          <w:rFonts w:ascii="Candara" w:hAnsi="Candara"/>
        </w:rPr>
      </w:pPr>
    </w:p>
    <w:p w14:paraId="2884F71A" w14:textId="10086BAD" w:rsidR="00FE50C0" w:rsidRPr="0016235B" w:rsidRDefault="00FE50C0" w:rsidP="008B5D45">
      <w:pPr>
        <w:rPr>
          <w:rFonts w:ascii="Candara" w:hAnsi="Candara"/>
        </w:rPr>
      </w:pPr>
    </w:p>
    <w:p w14:paraId="1320EB42" w14:textId="4FE0758C" w:rsidR="00FE50C0" w:rsidRPr="0016235B" w:rsidRDefault="00FE50C0" w:rsidP="0047384B">
      <w:pPr>
        <w:spacing w:after="0" w:line="240" w:lineRule="auto"/>
        <w:jc w:val="both"/>
        <w:rPr>
          <w:rFonts w:ascii="Candara" w:eastAsia="Times New Roman" w:hAnsi="Candara" w:cs="Calibri"/>
          <w:b/>
          <w:bCs/>
          <w:sz w:val="24"/>
          <w:szCs w:val="24"/>
        </w:rPr>
      </w:pPr>
      <w:r w:rsidRPr="0016235B">
        <w:rPr>
          <w:rFonts w:ascii="Candara" w:eastAsia="Times New Roman" w:hAnsi="Candara" w:cs="Calibri"/>
          <w:b/>
          <w:bCs/>
          <w:sz w:val="24"/>
          <w:szCs w:val="24"/>
        </w:rPr>
        <w:t>Percentage of facilities that have tracer items for surgical equipment among facilities that provide this service (N=72)</w:t>
      </w:r>
    </w:p>
    <w:p w14:paraId="123B5741" w14:textId="13F5A8A6" w:rsidR="00960E59" w:rsidRPr="0016235B" w:rsidRDefault="00960E59" w:rsidP="008B5D45">
      <w:pPr>
        <w:rPr>
          <w:rFonts w:ascii="Candara" w:hAnsi="Candara"/>
        </w:rPr>
      </w:pPr>
      <w:r w:rsidRPr="0016235B">
        <w:rPr>
          <w:rFonts w:ascii="Candara" w:hAnsi="Candara"/>
          <w:noProof/>
        </w:rPr>
        <w:lastRenderedPageBreak/>
        <w:drawing>
          <wp:inline distT="0" distB="0" distL="0" distR="0" wp14:anchorId="5253B628" wp14:editId="3B3BAA4C">
            <wp:extent cx="6457950" cy="8743950"/>
            <wp:effectExtent l="0" t="0" r="0" b="0"/>
            <wp:docPr id="8" name="Chart 8">
              <a:extLst xmlns:a="http://schemas.openxmlformats.org/drawingml/2006/main">
                <a:ext uri="{FF2B5EF4-FFF2-40B4-BE49-F238E27FC236}">
                  <a16:creationId xmlns:a16="http://schemas.microsoft.com/office/drawing/2014/main" id="{00000000-0008-0000-1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tbl>
      <w:tblPr>
        <w:tblStyle w:val="TableGrid"/>
        <w:tblW w:w="0" w:type="auto"/>
        <w:tblLook w:val="04A0" w:firstRow="1" w:lastRow="0" w:firstColumn="1" w:lastColumn="0" w:noHBand="0" w:noVBand="1"/>
      </w:tblPr>
      <w:tblGrid>
        <w:gridCol w:w="9016"/>
      </w:tblGrid>
      <w:tr w:rsidR="002E1B5C" w:rsidRPr="0016235B" w14:paraId="590B8EF5" w14:textId="77777777" w:rsidTr="00F32574">
        <w:tc>
          <w:tcPr>
            <w:tcW w:w="9016" w:type="dxa"/>
          </w:tcPr>
          <w:p w14:paraId="4FF0842D" w14:textId="0FD73A36" w:rsidR="002E1B5C" w:rsidRPr="0016235B" w:rsidRDefault="002E1B5C" w:rsidP="008B5D45">
            <w:pPr>
              <w:rPr>
                <w:rFonts w:ascii="Candara" w:hAnsi="Candara"/>
                <w:b/>
              </w:rPr>
            </w:pPr>
            <w:r w:rsidRPr="0016235B">
              <w:rPr>
                <w:rFonts w:ascii="Candara" w:hAnsi="Candara"/>
                <w:b/>
              </w:rPr>
              <w:t>Key findings</w:t>
            </w:r>
          </w:p>
        </w:tc>
      </w:tr>
      <w:tr w:rsidR="002E1B5C" w:rsidRPr="0016235B" w14:paraId="3E625C84" w14:textId="77777777" w:rsidTr="00F32574">
        <w:tc>
          <w:tcPr>
            <w:tcW w:w="9016" w:type="dxa"/>
          </w:tcPr>
          <w:p w14:paraId="260BACD4" w14:textId="0375F23F" w:rsidR="002E1B5C" w:rsidRPr="0016235B" w:rsidRDefault="00F32574" w:rsidP="005722F2">
            <w:pPr>
              <w:pStyle w:val="ListParagraph"/>
              <w:numPr>
                <w:ilvl w:val="0"/>
                <w:numId w:val="8"/>
              </w:numPr>
              <w:jc w:val="both"/>
              <w:rPr>
                <w:rFonts w:ascii="Candara" w:hAnsi="Candara"/>
              </w:rPr>
            </w:pPr>
            <w:r w:rsidRPr="0016235B">
              <w:rPr>
                <w:rFonts w:ascii="Candara" w:hAnsi="Candara"/>
              </w:rPr>
              <w:t xml:space="preserve">On average, 63% of </w:t>
            </w:r>
            <w:r w:rsidR="00512534" w:rsidRPr="0016235B">
              <w:rPr>
                <w:rFonts w:ascii="Candara" w:hAnsi="Candara"/>
              </w:rPr>
              <w:t>the surgical equipment</w:t>
            </w:r>
            <w:r w:rsidR="00073CAC" w:rsidRPr="0016235B">
              <w:rPr>
                <w:rFonts w:ascii="Candara" w:hAnsi="Candara"/>
              </w:rPr>
              <w:t xml:space="preserve"> &amp; supplies</w:t>
            </w:r>
            <w:r w:rsidR="00512534" w:rsidRPr="0016235B">
              <w:rPr>
                <w:rFonts w:ascii="Candara" w:hAnsi="Candara"/>
              </w:rPr>
              <w:t xml:space="preserve"> assessed </w:t>
            </w:r>
            <w:r w:rsidRPr="0016235B">
              <w:rPr>
                <w:rFonts w:ascii="Candara" w:hAnsi="Candara"/>
              </w:rPr>
              <w:t>were available</w:t>
            </w:r>
            <w:r w:rsidR="00073CAC" w:rsidRPr="0016235B">
              <w:rPr>
                <w:rFonts w:ascii="Candara" w:hAnsi="Candara"/>
              </w:rPr>
              <w:t xml:space="preserve"> </w:t>
            </w:r>
          </w:p>
          <w:p w14:paraId="19E32D20" w14:textId="7850FE9D" w:rsidR="00512534" w:rsidRPr="0016235B" w:rsidRDefault="00512534" w:rsidP="005722F2">
            <w:pPr>
              <w:pStyle w:val="ListParagraph"/>
              <w:numPr>
                <w:ilvl w:val="0"/>
                <w:numId w:val="8"/>
              </w:numPr>
              <w:jc w:val="both"/>
              <w:rPr>
                <w:rFonts w:ascii="Candara" w:hAnsi="Candara"/>
              </w:rPr>
            </w:pPr>
            <w:r w:rsidRPr="0016235B">
              <w:rPr>
                <w:rFonts w:ascii="Candara" w:hAnsi="Candara"/>
              </w:rPr>
              <w:lastRenderedPageBreak/>
              <w:t>53% of the assessed facilities had all the surgical equipment &amp; supplies inquired about</w:t>
            </w:r>
          </w:p>
          <w:p w14:paraId="64EB25B2" w14:textId="724C1B7C" w:rsidR="00512534" w:rsidRPr="0016235B" w:rsidRDefault="00512534" w:rsidP="005722F2">
            <w:pPr>
              <w:pStyle w:val="ListParagraph"/>
              <w:numPr>
                <w:ilvl w:val="0"/>
                <w:numId w:val="8"/>
              </w:numPr>
              <w:jc w:val="both"/>
              <w:rPr>
                <w:rFonts w:ascii="Candara" w:hAnsi="Candara"/>
              </w:rPr>
            </w:pPr>
            <w:r w:rsidRPr="0016235B">
              <w:rPr>
                <w:rFonts w:ascii="Candara" w:hAnsi="Candara"/>
              </w:rPr>
              <w:t>The most available equipment/suppl</w:t>
            </w:r>
            <w:r w:rsidR="00073CAC" w:rsidRPr="0016235B">
              <w:rPr>
                <w:rFonts w:ascii="Candara" w:hAnsi="Candara"/>
              </w:rPr>
              <w:t>ies</w:t>
            </w:r>
            <w:r w:rsidRPr="0016235B">
              <w:rPr>
                <w:rFonts w:ascii="Candara" w:hAnsi="Candara"/>
              </w:rPr>
              <w:t xml:space="preserve"> </w:t>
            </w:r>
            <w:r w:rsidR="00B60632" w:rsidRPr="0016235B">
              <w:rPr>
                <w:rFonts w:ascii="Candara" w:hAnsi="Candara"/>
              </w:rPr>
              <w:t xml:space="preserve">in over 80% of the facilities </w:t>
            </w:r>
            <w:r w:rsidR="00073CAC" w:rsidRPr="0016235B">
              <w:rPr>
                <w:rFonts w:ascii="Candara" w:hAnsi="Candara"/>
              </w:rPr>
              <w:t xml:space="preserve">were; Lidocaine, </w:t>
            </w:r>
            <w:r w:rsidRPr="0016235B">
              <w:rPr>
                <w:rFonts w:ascii="Candara" w:hAnsi="Candara"/>
              </w:rPr>
              <w:t xml:space="preserve">Oropharyngeal airway adult, suture </w:t>
            </w:r>
            <w:r w:rsidR="00073CAC" w:rsidRPr="0016235B">
              <w:rPr>
                <w:rFonts w:ascii="Candara" w:hAnsi="Candara"/>
              </w:rPr>
              <w:t>material, sharps</w:t>
            </w:r>
            <w:r w:rsidRPr="0016235B">
              <w:rPr>
                <w:rFonts w:ascii="Candara" w:hAnsi="Candara"/>
              </w:rPr>
              <w:t xml:space="preserve"> </w:t>
            </w:r>
            <w:r w:rsidR="00073CAC" w:rsidRPr="0016235B">
              <w:rPr>
                <w:rFonts w:ascii="Candara" w:hAnsi="Candara"/>
              </w:rPr>
              <w:t xml:space="preserve">containers and </w:t>
            </w:r>
            <w:r w:rsidRPr="0016235B">
              <w:rPr>
                <w:rFonts w:ascii="Candara" w:hAnsi="Candara"/>
              </w:rPr>
              <w:t xml:space="preserve">skin </w:t>
            </w:r>
            <w:r w:rsidR="00073CAC" w:rsidRPr="0016235B">
              <w:rPr>
                <w:rFonts w:ascii="Candara" w:hAnsi="Candara"/>
              </w:rPr>
              <w:t xml:space="preserve">disinfectant </w:t>
            </w:r>
          </w:p>
          <w:p w14:paraId="2B783A53" w14:textId="6F93B59C" w:rsidR="00512534" w:rsidRPr="0016235B" w:rsidRDefault="006A3504" w:rsidP="005722F2">
            <w:pPr>
              <w:pStyle w:val="ListParagraph"/>
              <w:numPr>
                <w:ilvl w:val="0"/>
                <w:numId w:val="8"/>
              </w:numPr>
              <w:jc w:val="both"/>
              <w:rPr>
                <w:rFonts w:ascii="Candara" w:hAnsi="Candara"/>
              </w:rPr>
            </w:pPr>
            <w:r w:rsidRPr="0016235B">
              <w:rPr>
                <w:rFonts w:ascii="Candara" w:hAnsi="Candara"/>
              </w:rPr>
              <w:t>Presence of s</w:t>
            </w:r>
            <w:r w:rsidR="00073CAC" w:rsidRPr="0016235B">
              <w:rPr>
                <w:rFonts w:ascii="Candara" w:hAnsi="Candara"/>
              </w:rPr>
              <w:t>taff trained for surgery</w:t>
            </w:r>
            <w:r w:rsidRPr="0016235B">
              <w:rPr>
                <w:rFonts w:ascii="Candara" w:hAnsi="Candara"/>
              </w:rPr>
              <w:t xml:space="preserve"> at the facility 24/7</w:t>
            </w:r>
            <w:r w:rsidR="00073CAC" w:rsidRPr="0016235B">
              <w:rPr>
                <w:rFonts w:ascii="Candara" w:hAnsi="Candara"/>
              </w:rPr>
              <w:t>, material for cast,</w:t>
            </w:r>
            <w:r w:rsidRPr="0016235B">
              <w:rPr>
                <w:rFonts w:ascii="Candara" w:hAnsi="Candara"/>
              </w:rPr>
              <w:t xml:space="preserve"> </w:t>
            </w:r>
            <w:r w:rsidR="00073CAC" w:rsidRPr="0016235B">
              <w:rPr>
                <w:rFonts w:ascii="Candara" w:hAnsi="Candara"/>
              </w:rPr>
              <w:t xml:space="preserve">splint for extremities </w:t>
            </w:r>
            <w:r w:rsidRPr="0016235B">
              <w:rPr>
                <w:rFonts w:ascii="Candara" w:hAnsi="Candara"/>
              </w:rPr>
              <w:t>were the leas</w:t>
            </w:r>
            <w:r w:rsidR="00B60632" w:rsidRPr="0016235B">
              <w:rPr>
                <w:rFonts w:ascii="Candara" w:hAnsi="Candara"/>
              </w:rPr>
              <w:t>t</w:t>
            </w:r>
            <w:r w:rsidRPr="0016235B">
              <w:rPr>
                <w:rFonts w:ascii="Candara" w:hAnsi="Candara"/>
              </w:rPr>
              <w:t xml:space="preserve"> available in less than</w:t>
            </w:r>
            <w:r w:rsidR="00B60632" w:rsidRPr="0016235B">
              <w:rPr>
                <w:rFonts w:ascii="Candara" w:hAnsi="Candara"/>
              </w:rPr>
              <w:t xml:space="preserve"> 30% of the assessed facilities</w:t>
            </w:r>
          </w:p>
        </w:tc>
      </w:tr>
    </w:tbl>
    <w:p w14:paraId="7E305516" w14:textId="77777777" w:rsidR="00BC7AFF" w:rsidRPr="0016235B" w:rsidRDefault="00BC7AFF" w:rsidP="008B5D45">
      <w:pPr>
        <w:rPr>
          <w:rFonts w:ascii="Candara" w:hAnsi="Candara"/>
          <w:b/>
        </w:rPr>
      </w:pPr>
    </w:p>
    <w:p w14:paraId="7913E4E0" w14:textId="5F62947D" w:rsidR="006A3504" w:rsidRPr="0016235B" w:rsidRDefault="00B60632" w:rsidP="005722F2">
      <w:pPr>
        <w:pStyle w:val="Heading2"/>
        <w:numPr>
          <w:ilvl w:val="1"/>
          <w:numId w:val="25"/>
        </w:numPr>
        <w:rPr>
          <w:rFonts w:ascii="Candara" w:hAnsi="Candara"/>
          <w:b/>
          <w:sz w:val="28"/>
          <w:szCs w:val="28"/>
        </w:rPr>
      </w:pPr>
      <w:bookmarkStart w:id="33" w:name="_Toc11494046"/>
      <w:r w:rsidRPr="0016235B">
        <w:rPr>
          <w:rFonts w:ascii="Candara" w:hAnsi="Candara"/>
          <w:b/>
          <w:sz w:val="28"/>
          <w:szCs w:val="28"/>
        </w:rPr>
        <w:t>Malaria</w:t>
      </w:r>
      <w:bookmarkEnd w:id="33"/>
    </w:p>
    <w:p w14:paraId="63E777AB" w14:textId="77777777" w:rsidR="00B60632" w:rsidRPr="0016235B" w:rsidRDefault="00B60632" w:rsidP="0097415E">
      <w:pPr>
        <w:rPr>
          <w:rFonts w:ascii="Candara" w:hAnsi="Candara"/>
        </w:rPr>
      </w:pPr>
    </w:p>
    <w:p w14:paraId="11FAD59F" w14:textId="30B9C9F4" w:rsidR="0097415E" w:rsidRPr="0016235B" w:rsidRDefault="00F86381" w:rsidP="00606757">
      <w:pPr>
        <w:jc w:val="both"/>
        <w:rPr>
          <w:rFonts w:ascii="Candara" w:eastAsia="MS Mincho" w:hAnsi="Candara"/>
          <w:sz w:val="24"/>
          <w:szCs w:val="24"/>
        </w:rPr>
      </w:pPr>
      <w:r w:rsidRPr="0016235B">
        <w:rPr>
          <w:rFonts w:ascii="Candara" w:eastAsia="MS Mincho" w:hAnsi="Candara"/>
          <w:sz w:val="24"/>
          <w:szCs w:val="24"/>
        </w:rPr>
        <w:t xml:space="preserve">The survey </w:t>
      </w:r>
      <w:r w:rsidR="00B60632" w:rsidRPr="0016235B">
        <w:rPr>
          <w:rFonts w:ascii="Candara" w:eastAsia="MS Mincho" w:hAnsi="Candara"/>
          <w:sz w:val="24"/>
          <w:szCs w:val="24"/>
        </w:rPr>
        <w:t>examined</w:t>
      </w:r>
      <w:r w:rsidR="003945D3" w:rsidRPr="0016235B">
        <w:rPr>
          <w:rFonts w:ascii="Candara" w:eastAsia="MS Mincho" w:hAnsi="Candara"/>
          <w:sz w:val="24"/>
          <w:szCs w:val="24"/>
        </w:rPr>
        <w:t xml:space="preserve"> the availability of </w:t>
      </w:r>
      <w:r w:rsidR="00606757" w:rsidRPr="0016235B">
        <w:rPr>
          <w:rFonts w:ascii="Candara" w:eastAsia="MS Mincho" w:hAnsi="Candara"/>
          <w:sz w:val="24"/>
          <w:szCs w:val="24"/>
        </w:rPr>
        <w:t xml:space="preserve">malaria </w:t>
      </w:r>
      <w:r w:rsidR="003945D3" w:rsidRPr="0016235B">
        <w:rPr>
          <w:rFonts w:ascii="Candara" w:eastAsia="MS Mincho" w:hAnsi="Candara"/>
          <w:sz w:val="24"/>
          <w:szCs w:val="24"/>
        </w:rPr>
        <w:t>diagnosis or treatment</w:t>
      </w:r>
      <w:r w:rsidR="00606757" w:rsidRPr="0016235B">
        <w:rPr>
          <w:rFonts w:ascii="Candara" w:eastAsia="MS Mincho" w:hAnsi="Candara"/>
          <w:sz w:val="24"/>
          <w:szCs w:val="24"/>
        </w:rPr>
        <w:t xml:space="preserve">, </w:t>
      </w:r>
      <w:r w:rsidR="00B60632" w:rsidRPr="0016235B">
        <w:rPr>
          <w:rFonts w:ascii="Candara" w:eastAsia="MS Mincho" w:hAnsi="Candara"/>
          <w:sz w:val="24"/>
          <w:szCs w:val="24"/>
        </w:rPr>
        <w:t>t</w:t>
      </w:r>
      <w:r w:rsidR="003945D3" w:rsidRPr="0016235B">
        <w:rPr>
          <w:rFonts w:ascii="Candara" w:eastAsia="MS Mincho" w:hAnsi="Candara"/>
          <w:sz w:val="24"/>
          <w:szCs w:val="24"/>
        </w:rPr>
        <w:t>he methods used at the facility</w:t>
      </w:r>
      <w:r w:rsidR="00606757" w:rsidRPr="0016235B">
        <w:rPr>
          <w:rFonts w:ascii="Candara" w:eastAsia="MS Mincho" w:hAnsi="Candara"/>
          <w:sz w:val="24"/>
          <w:szCs w:val="24"/>
        </w:rPr>
        <w:t xml:space="preserve"> for diagnosis and stocks of </w:t>
      </w:r>
      <w:r w:rsidR="003945D3" w:rsidRPr="0016235B">
        <w:rPr>
          <w:rFonts w:ascii="Candara" w:eastAsia="MS Mincho" w:hAnsi="Candara"/>
          <w:sz w:val="24"/>
          <w:szCs w:val="24"/>
        </w:rPr>
        <w:t>malaria rapid diagnostic test kits</w:t>
      </w:r>
      <w:r w:rsidR="00606757" w:rsidRPr="0016235B">
        <w:rPr>
          <w:rFonts w:ascii="Candara" w:eastAsia="MS Mincho" w:hAnsi="Candara"/>
          <w:sz w:val="24"/>
          <w:szCs w:val="24"/>
        </w:rPr>
        <w:t>.</w:t>
      </w:r>
    </w:p>
    <w:p w14:paraId="41A178D1" w14:textId="7AFA47A4" w:rsidR="00DD1304" w:rsidRPr="0016235B" w:rsidRDefault="00DD1304" w:rsidP="00DD1304">
      <w:pPr>
        <w:tabs>
          <w:tab w:val="left" w:pos="8400"/>
        </w:tabs>
        <w:rPr>
          <w:rFonts w:ascii="Candara" w:hAnsi="Candara"/>
        </w:rPr>
      </w:pPr>
      <w:r w:rsidRPr="0016235B">
        <w:rPr>
          <w:rFonts w:ascii="Candara" w:hAnsi="Candara"/>
          <w:b/>
          <w:bCs/>
        </w:rPr>
        <w:t xml:space="preserve">Percentage of facilities offering malaria services by key </w:t>
      </w:r>
      <w:proofErr w:type="spellStart"/>
      <w:r w:rsidRPr="0016235B">
        <w:rPr>
          <w:rFonts w:ascii="Candara" w:hAnsi="Candara"/>
          <w:b/>
          <w:bCs/>
        </w:rPr>
        <w:t>stratifiers</w:t>
      </w:r>
      <w:proofErr w:type="spellEnd"/>
      <w:r w:rsidRPr="0016235B">
        <w:rPr>
          <w:rFonts w:ascii="Candara" w:hAnsi="Candara"/>
          <w:b/>
          <w:bCs/>
        </w:rPr>
        <w:t xml:space="preserve"> (N=166)</w:t>
      </w:r>
    </w:p>
    <w:p w14:paraId="6AA4D273" w14:textId="2D22A81F" w:rsidR="00DD1304" w:rsidRPr="0016235B" w:rsidRDefault="00DD1304" w:rsidP="00DD1304">
      <w:pPr>
        <w:tabs>
          <w:tab w:val="left" w:pos="8400"/>
        </w:tabs>
        <w:rPr>
          <w:rFonts w:ascii="Candara" w:hAnsi="Candara"/>
        </w:rPr>
      </w:pPr>
      <w:r w:rsidRPr="0016235B">
        <w:rPr>
          <w:rFonts w:ascii="Candara" w:hAnsi="Candara"/>
          <w:noProof/>
        </w:rPr>
        <w:drawing>
          <wp:inline distT="0" distB="0" distL="0" distR="0" wp14:anchorId="25988215" wp14:editId="138B313E">
            <wp:extent cx="5810250" cy="3562350"/>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E9B58C9" w14:textId="77777777" w:rsidR="00DD1304" w:rsidRPr="0016235B" w:rsidRDefault="00DD1304" w:rsidP="00DD1304">
      <w:pPr>
        <w:tabs>
          <w:tab w:val="left" w:pos="8400"/>
        </w:tabs>
        <w:rPr>
          <w:rFonts w:ascii="Candara" w:hAnsi="Candara"/>
        </w:rPr>
      </w:pPr>
    </w:p>
    <w:tbl>
      <w:tblPr>
        <w:tblStyle w:val="TableGrid"/>
        <w:tblW w:w="9085" w:type="dxa"/>
        <w:tblLook w:val="04A0" w:firstRow="1" w:lastRow="0" w:firstColumn="1" w:lastColumn="0" w:noHBand="0" w:noVBand="1"/>
      </w:tblPr>
      <w:tblGrid>
        <w:gridCol w:w="9085"/>
      </w:tblGrid>
      <w:tr w:rsidR="00DD1304" w:rsidRPr="0016235B" w14:paraId="06DF0857" w14:textId="77777777" w:rsidTr="00BA165C">
        <w:tc>
          <w:tcPr>
            <w:tcW w:w="9085" w:type="dxa"/>
          </w:tcPr>
          <w:p w14:paraId="502A6E87" w14:textId="77777777" w:rsidR="00DD1304" w:rsidRPr="0016235B" w:rsidRDefault="00DD1304" w:rsidP="007B6268">
            <w:pPr>
              <w:tabs>
                <w:tab w:val="left" w:pos="8400"/>
              </w:tabs>
              <w:rPr>
                <w:rFonts w:ascii="Candara" w:hAnsi="Candara"/>
                <w:b/>
              </w:rPr>
            </w:pPr>
            <w:r w:rsidRPr="0016235B">
              <w:rPr>
                <w:rFonts w:ascii="Candara" w:hAnsi="Candara"/>
                <w:b/>
              </w:rPr>
              <w:t>Key findings</w:t>
            </w:r>
          </w:p>
        </w:tc>
      </w:tr>
      <w:tr w:rsidR="00DD1304" w:rsidRPr="0016235B" w14:paraId="2FDE1D6A" w14:textId="77777777" w:rsidTr="00BA165C">
        <w:trPr>
          <w:trHeight w:val="1803"/>
        </w:trPr>
        <w:tc>
          <w:tcPr>
            <w:tcW w:w="9085" w:type="dxa"/>
          </w:tcPr>
          <w:p w14:paraId="354F962C" w14:textId="372D7287" w:rsidR="00DD1304" w:rsidRPr="0016235B" w:rsidRDefault="00DD1304" w:rsidP="005722F2">
            <w:pPr>
              <w:pStyle w:val="ListParagraph"/>
              <w:numPr>
                <w:ilvl w:val="0"/>
                <w:numId w:val="12"/>
              </w:numPr>
              <w:tabs>
                <w:tab w:val="left" w:pos="8400"/>
              </w:tabs>
              <w:jc w:val="both"/>
              <w:rPr>
                <w:rFonts w:ascii="Candara" w:hAnsi="Candara"/>
              </w:rPr>
            </w:pPr>
            <w:r w:rsidRPr="0016235B">
              <w:rPr>
                <w:rFonts w:ascii="Candara" w:hAnsi="Candara"/>
              </w:rPr>
              <w:t>Malaria services were available in 97% of the facilities</w:t>
            </w:r>
          </w:p>
          <w:p w14:paraId="4940E209" w14:textId="7382F46C" w:rsidR="00DD1304" w:rsidRPr="0016235B" w:rsidRDefault="00DD1304" w:rsidP="005722F2">
            <w:pPr>
              <w:pStyle w:val="ListParagraph"/>
              <w:numPr>
                <w:ilvl w:val="0"/>
                <w:numId w:val="12"/>
              </w:numPr>
              <w:tabs>
                <w:tab w:val="left" w:pos="8400"/>
              </w:tabs>
              <w:jc w:val="both"/>
              <w:rPr>
                <w:rFonts w:ascii="Candara" w:hAnsi="Candara"/>
              </w:rPr>
            </w:pPr>
            <w:r w:rsidRPr="0016235B">
              <w:rPr>
                <w:rFonts w:ascii="Candara" w:hAnsi="Candara"/>
              </w:rPr>
              <w:t xml:space="preserve">All hospitals and HC IVs provided </w:t>
            </w:r>
            <w:r w:rsidR="00BA165C" w:rsidRPr="0016235B">
              <w:rPr>
                <w:rFonts w:ascii="Candara" w:hAnsi="Candara"/>
              </w:rPr>
              <w:t>malaria</w:t>
            </w:r>
            <w:r w:rsidRPr="0016235B">
              <w:rPr>
                <w:rFonts w:ascii="Candara" w:hAnsi="Candara"/>
              </w:rPr>
              <w:t xml:space="preserve"> services compared to 9</w:t>
            </w:r>
            <w:r w:rsidR="00BA165C" w:rsidRPr="0016235B">
              <w:rPr>
                <w:rFonts w:ascii="Candara" w:hAnsi="Candara"/>
              </w:rPr>
              <w:t>3% of HC IIIs and 91% of HC IIs</w:t>
            </w:r>
          </w:p>
          <w:p w14:paraId="592C5B1E" w14:textId="5852C84C" w:rsidR="00DD1304" w:rsidRPr="0016235B" w:rsidRDefault="00BA165C" w:rsidP="005722F2">
            <w:pPr>
              <w:pStyle w:val="ListParagraph"/>
              <w:numPr>
                <w:ilvl w:val="0"/>
                <w:numId w:val="12"/>
              </w:numPr>
              <w:tabs>
                <w:tab w:val="left" w:pos="8400"/>
              </w:tabs>
              <w:jc w:val="both"/>
              <w:rPr>
                <w:rFonts w:ascii="Candara" w:hAnsi="Candara"/>
              </w:rPr>
            </w:pPr>
            <w:r w:rsidRPr="0016235B">
              <w:rPr>
                <w:rFonts w:ascii="Candara" w:hAnsi="Candara"/>
              </w:rPr>
              <w:t>Malaria s</w:t>
            </w:r>
            <w:r w:rsidR="00DD1304" w:rsidRPr="0016235B">
              <w:rPr>
                <w:rFonts w:ascii="Candara" w:hAnsi="Candara"/>
              </w:rPr>
              <w:t xml:space="preserve">ervices were </w:t>
            </w:r>
            <w:r w:rsidRPr="0016235B">
              <w:rPr>
                <w:rFonts w:ascii="Candara" w:hAnsi="Candara"/>
              </w:rPr>
              <w:t>universally</w:t>
            </w:r>
            <w:r w:rsidR="00DD1304" w:rsidRPr="0016235B">
              <w:rPr>
                <w:rFonts w:ascii="Candara" w:hAnsi="Candara"/>
              </w:rPr>
              <w:t xml:space="preserve"> available in rural areas (</w:t>
            </w:r>
            <w:r w:rsidRPr="0016235B">
              <w:rPr>
                <w:rFonts w:ascii="Candara" w:hAnsi="Candara"/>
              </w:rPr>
              <w:t>100</w:t>
            </w:r>
            <w:r w:rsidR="00DD1304" w:rsidRPr="0016235B">
              <w:rPr>
                <w:rFonts w:ascii="Candara" w:hAnsi="Candara"/>
              </w:rPr>
              <w:t xml:space="preserve">%) </w:t>
            </w:r>
            <w:r w:rsidRPr="0016235B">
              <w:rPr>
                <w:rFonts w:ascii="Candara" w:hAnsi="Candara"/>
              </w:rPr>
              <w:t>than</w:t>
            </w:r>
            <w:r w:rsidR="00DD1304" w:rsidRPr="0016235B">
              <w:rPr>
                <w:rFonts w:ascii="Candara" w:hAnsi="Candara"/>
              </w:rPr>
              <w:t xml:space="preserve"> </w:t>
            </w:r>
            <w:r w:rsidRPr="0016235B">
              <w:rPr>
                <w:rFonts w:ascii="Candara" w:hAnsi="Candara"/>
              </w:rPr>
              <w:t>urban settings (93%)</w:t>
            </w:r>
          </w:p>
          <w:p w14:paraId="57C555F4" w14:textId="487F46D5" w:rsidR="00BA165C" w:rsidRPr="0016235B" w:rsidRDefault="00BA165C" w:rsidP="005722F2">
            <w:pPr>
              <w:pStyle w:val="ListParagraph"/>
              <w:numPr>
                <w:ilvl w:val="0"/>
                <w:numId w:val="12"/>
              </w:numPr>
              <w:tabs>
                <w:tab w:val="left" w:pos="8400"/>
              </w:tabs>
              <w:jc w:val="both"/>
              <w:rPr>
                <w:rFonts w:ascii="Candara" w:hAnsi="Candara"/>
              </w:rPr>
            </w:pPr>
            <w:r w:rsidRPr="0016235B">
              <w:rPr>
                <w:rFonts w:ascii="Candara" w:hAnsi="Candara"/>
              </w:rPr>
              <w:t>Public and private facilities equally provided malaria services</w:t>
            </w:r>
          </w:p>
          <w:p w14:paraId="15B084AA" w14:textId="40D16A13" w:rsidR="00DD1304" w:rsidRPr="0016235B" w:rsidRDefault="00BA165C" w:rsidP="005722F2">
            <w:pPr>
              <w:pStyle w:val="ListParagraph"/>
              <w:numPr>
                <w:ilvl w:val="0"/>
                <w:numId w:val="12"/>
              </w:numPr>
              <w:tabs>
                <w:tab w:val="left" w:pos="8400"/>
              </w:tabs>
              <w:jc w:val="both"/>
              <w:rPr>
                <w:rFonts w:ascii="Candara" w:hAnsi="Candara"/>
              </w:rPr>
            </w:pPr>
            <w:r w:rsidRPr="0016235B">
              <w:rPr>
                <w:rFonts w:ascii="Candara" w:hAnsi="Candara"/>
              </w:rPr>
              <w:t>South</w:t>
            </w:r>
            <w:r w:rsidR="00DD1304" w:rsidRPr="0016235B">
              <w:rPr>
                <w:rFonts w:ascii="Candara" w:hAnsi="Candara"/>
              </w:rPr>
              <w:t xml:space="preserve">-West region had the lowest availability at </w:t>
            </w:r>
            <w:r w:rsidRPr="0016235B">
              <w:rPr>
                <w:rFonts w:ascii="Candara" w:hAnsi="Candara"/>
              </w:rPr>
              <w:t>91</w:t>
            </w:r>
            <w:r w:rsidR="00DD1304" w:rsidRPr="0016235B">
              <w:rPr>
                <w:rFonts w:ascii="Candara" w:hAnsi="Candara"/>
              </w:rPr>
              <w:t>% of the assessed facilities</w:t>
            </w:r>
            <w:r w:rsidRPr="0016235B">
              <w:rPr>
                <w:rFonts w:ascii="Candara" w:hAnsi="Candara"/>
              </w:rPr>
              <w:t>, followed by Kampala at 93%, while the remaining</w:t>
            </w:r>
            <w:r w:rsidR="00DD1304" w:rsidRPr="0016235B">
              <w:rPr>
                <w:rFonts w:ascii="Candara" w:hAnsi="Candara"/>
              </w:rPr>
              <w:t xml:space="preserve"> regions had services avail</w:t>
            </w:r>
            <w:r w:rsidRPr="0016235B">
              <w:rPr>
                <w:rFonts w:ascii="Candara" w:hAnsi="Candara"/>
              </w:rPr>
              <w:t>able in all facilities assessed</w:t>
            </w:r>
          </w:p>
        </w:tc>
      </w:tr>
    </w:tbl>
    <w:p w14:paraId="1B56A606" w14:textId="77777777" w:rsidR="00DD1304" w:rsidRPr="0016235B" w:rsidRDefault="00DD1304" w:rsidP="00606757">
      <w:pPr>
        <w:jc w:val="both"/>
        <w:rPr>
          <w:rFonts w:ascii="Candara" w:eastAsia="MS Mincho" w:hAnsi="Candara"/>
          <w:sz w:val="24"/>
          <w:szCs w:val="24"/>
        </w:rPr>
      </w:pPr>
    </w:p>
    <w:p w14:paraId="662C03FA" w14:textId="77777777" w:rsidR="00DD1304" w:rsidRPr="0016235B" w:rsidRDefault="00DD1304" w:rsidP="00606757">
      <w:pPr>
        <w:jc w:val="both"/>
        <w:rPr>
          <w:rFonts w:ascii="Candara" w:eastAsia="MS Mincho" w:hAnsi="Candara"/>
          <w:sz w:val="24"/>
          <w:szCs w:val="24"/>
        </w:rPr>
      </w:pPr>
    </w:p>
    <w:p w14:paraId="50E40CA1" w14:textId="77777777" w:rsidR="00BA165C" w:rsidRPr="0016235B" w:rsidRDefault="00BA165C">
      <w:pPr>
        <w:rPr>
          <w:rFonts w:ascii="Candara" w:eastAsia="MS Mincho" w:hAnsi="Candara"/>
          <w:b/>
          <w:sz w:val="24"/>
          <w:szCs w:val="24"/>
        </w:rPr>
      </w:pPr>
      <w:r w:rsidRPr="0016235B">
        <w:rPr>
          <w:rFonts w:ascii="Candara" w:eastAsia="MS Mincho" w:hAnsi="Candara"/>
          <w:b/>
          <w:sz w:val="24"/>
          <w:szCs w:val="24"/>
        </w:rPr>
        <w:br w:type="page"/>
      </w:r>
    </w:p>
    <w:p w14:paraId="005BE987" w14:textId="385FDE68" w:rsidR="00DB0C8C" w:rsidRPr="0016235B" w:rsidRDefault="00DB0C8C" w:rsidP="00606757">
      <w:pPr>
        <w:jc w:val="both"/>
        <w:rPr>
          <w:rFonts w:ascii="Candara" w:eastAsia="MS Mincho" w:hAnsi="Candara"/>
          <w:b/>
          <w:sz w:val="24"/>
          <w:szCs w:val="24"/>
        </w:rPr>
      </w:pPr>
      <w:r w:rsidRPr="0016235B">
        <w:rPr>
          <w:rFonts w:ascii="Candara" w:eastAsia="MS Mincho" w:hAnsi="Candara"/>
          <w:b/>
          <w:sz w:val="24"/>
          <w:szCs w:val="24"/>
        </w:rPr>
        <w:lastRenderedPageBreak/>
        <w:t>Percentage of facilities diagnosing and prescribing treatment for malaria among those offering malaria services (N=161)</w:t>
      </w:r>
    </w:p>
    <w:p w14:paraId="611A8ECC" w14:textId="3B2B1D97" w:rsidR="00DB0C8C" w:rsidRPr="0016235B" w:rsidRDefault="00DB0C8C" w:rsidP="00606757">
      <w:pPr>
        <w:jc w:val="both"/>
        <w:rPr>
          <w:rFonts w:ascii="Candara" w:eastAsia="MS Mincho" w:hAnsi="Candara"/>
          <w:sz w:val="24"/>
          <w:szCs w:val="24"/>
        </w:rPr>
      </w:pPr>
      <w:r w:rsidRPr="0016235B">
        <w:rPr>
          <w:rFonts w:ascii="Candara" w:hAnsi="Candara"/>
          <w:noProof/>
        </w:rPr>
        <w:drawing>
          <wp:inline distT="0" distB="0" distL="0" distR="0" wp14:anchorId="001AFB9B" wp14:editId="34F0E543">
            <wp:extent cx="5162550" cy="3152775"/>
            <wp:effectExtent l="0" t="0" r="0"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7FE7F73" w14:textId="77777777" w:rsidR="00606757" w:rsidRPr="0016235B" w:rsidRDefault="00606757" w:rsidP="00606757">
      <w:pPr>
        <w:jc w:val="both"/>
        <w:rPr>
          <w:rFonts w:ascii="Candara" w:eastAsia="MS Mincho" w:hAnsi="Candara"/>
          <w:sz w:val="24"/>
          <w:szCs w:val="24"/>
        </w:rPr>
      </w:pPr>
    </w:p>
    <w:p w14:paraId="389EC4BE" w14:textId="45DACF9C" w:rsidR="009F2B75" w:rsidRPr="0016235B" w:rsidRDefault="009F2B75" w:rsidP="00BC7AFF">
      <w:pPr>
        <w:rPr>
          <w:rFonts w:ascii="Candara" w:hAnsi="Candara"/>
          <w:b/>
          <w:bCs/>
        </w:rPr>
      </w:pPr>
      <w:r w:rsidRPr="0016235B">
        <w:rPr>
          <w:rFonts w:ascii="Candara" w:hAnsi="Candara"/>
          <w:b/>
          <w:bCs/>
        </w:rPr>
        <w:t>Readiness to offer Malaria Services (N=1</w:t>
      </w:r>
      <w:r w:rsidR="005A657D" w:rsidRPr="0016235B">
        <w:rPr>
          <w:rFonts w:ascii="Candara" w:hAnsi="Candara"/>
          <w:b/>
          <w:bCs/>
        </w:rPr>
        <w:t>61</w:t>
      </w:r>
      <w:r w:rsidRPr="0016235B">
        <w:rPr>
          <w:rFonts w:ascii="Candara" w:hAnsi="Candara"/>
          <w:b/>
          <w:bCs/>
        </w:rPr>
        <w:t>)</w:t>
      </w:r>
    </w:p>
    <w:p w14:paraId="761C4EC8" w14:textId="13572CD8" w:rsidR="006A3504" w:rsidRPr="0016235B" w:rsidRDefault="005A657D" w:rsidP="008B5D45">
      <w:pPr>
        <w:rPr>
          <w:rFonts w:ascii="Candara" w:hAnsi="Candara"/>
          <w:b/>
        </w:rPr>
      </w:pPr>
      <w:r w:rsidRPr="0016235B">
        <w:rPr>
          <w:rFonts w:ascii="Candara" w:hAnsi="Candara"/>
          <w:noProof/>
        </w:rPr>
        <w:drawing>
          <wp:inline distT="0" distB="0" distL="0" distR="0" wp14:anchorId="1260131E" wp14:editId="2406FD84">
            <wp:extent cx="5557838" cy="3367088"/>
            <wp:effectExtent l="0" t="0" r="5080" b="508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9B901CE" w14:textId="77777777" w:rsidR="00ED2E24" w:rsidRPr="0016235B" w:rsidRDefault="00ED2E24" w:rsidP="008B5D45">
      <w:pPr>
        <w:rPr>
          <w:rFonts w:ascii="Candara" w:hAnsi="Candara"/>
          <w:b/>
        </w:rPr>
      </w:pPr>
    </w:p>
    <w:tbl>
      <w:tblPr>
        <w:tblStyle w:val="TableGrid"/>
        <w:tblW w:w="0" w:type="auto"/>
        <w:tblLook w:val="04A0" w:firstRow="1" w:lastRow="0" w:firstColumn="1" w:lastColumn="0" w:noHBand="0" w:noVBand="1"/>
      </w:tblPr>
      <w:tblGrid>
        <w:gridCol w:w="9242"/>
      </w:tblGrid>
      <w:tr w:rsidR="009F2B75" w:rsidRPr="0016235B" w14:paraId="1E61992C" w14:textId="77777777" w:rsidTr="009F2B75">
        <w:tc>
          <w:tcPr>
            <w:tcW w:w="9350" w:type="dxa"/>
          </w:tcPr>
          <w:p w14:paraId="0B1E2441" w14:textId="502551F3" w:rsidR="009F2B75" w:rsidRPr="0016235B" w:rsidRDefault="009F2B75" w:rsidP="008B5D45">
            <w:pPr>
              <w:rPr>
                <w:rFonts w:ascii="Candara" w:hAnsi="Candara"/>
                <w:b/>
              </w:rPr>
            </w:pPr>
            <w:r w:rsidRPr="0016235B">
              <w:rPr>
                <w:rFonts w:ascii="Candara" w:hAnsi="Candara"/>
                <w:b/>
              </w:rPr>
              <w:t>Key findings</w:t>
            </w:r>
          </w:p>
        </w:tc>
      </w:tr>
      <w:tr w:rsidR="009F2B75" w:rsidRPr="0016235B" w14:paraId="6087E1A1" w14:textId="77777777" w:rsidTr="009F2B75">
        <w:tc>
          <w:tcPr>
            <w:tcW w:w="9350" w:type="dxa"/>
          </w:tcPr>
          <w:p w14:paraId="765B7BD2" w14:textId="6481C06E" w:rsidR="005A657D" w:rsidRPr="0016235B" w:rsidRDefault="005A657D" w:rsidP="005722F2">
            <w:pPr>
              <w:pStyle w:val="ListParagraph"/>
              <w:numPr>
                <w:ilvl w:val="0"/>
                <w:numId w:val="10"/>
              </w:numPr>
              <w:rPr>
                <w:rFonts w:ascii="Candara" w:hAnsi="Candara"/>
              </w:rPr>
            </w:pPr>
            <w:r w:rsidRPr="0016235B">
              <w:rPr>
                <w:rFonts w:ascii="Candara" w:hAnsi="Candara"/>
              </w:rPr>
              <w:t>All facilities that offer</w:t>
            </w:r>
            <w:r w:rsidR="003B7C28">
              <w:rPr>
                <w:rFonts w:ascii="Candara" w:hAnsi="Candara"/>
              </w:rPr>
              <w:t>ed</w:t>
            </w:r>
            <w:r w:rsidRPr="0016235B">
              <w:rPr>
                <w:rFonts w:ascii="Candara" w:hAnsi="Candara"/>
              </w:rPr>
              <w:t xml:space="preserve"> malaria services prescribe</w:t>
            </w:r>
            <w:r w:rsidR="003B7C28">
              <w:rPr>
                <w:rFonts w:ascii="Candara" w:hAnsi="Candara"/>
              </w:rPr>
              <w:t>d</w:t>
            </w:r>
            <w:r w:rsidRPr="0016235B">
              <w:rPr>
                <w:rFonts w:ascii="Candara" w:hAnsi="Candara"/>
              </w:rPr>
              <w:t xml:space="preserve"> treatment for malaria while 98% diagnose</w:t>
            </w:r>
            <w:r w:rsidR="003B7C28">
              <w:rPr>
                <w:rFonts w:ascii="Candara" w:hAnsi="Candara"/>
              </w:rPr>
              <w:t>d</w:t>
            </w:r>
            <w:r w:rsidRPr="0016235B">
              <w:rPr>
                <w:rFonts w:ascii="Candara" w:hAnsi="Candara"/>
              </w:rPr>
              <w:t xml:space="preserve"> malaria</w:t>
            </w:r>
          </w:p>
          <w:p w14:paraId="6DE31F9C" w14:textId="77AF64E9" w:rsidR="009F2B75" w:rsidRPr="0016235B" w:rsidRDefault="00762EC6" w:rsidP="005722F2">
            <w:pPr>
              <w:pStyle w:val="ListParagraph"/>
              <w:numPr>
                <w:ilvl w:val="0"/>
                <w:numId w:val="10"/>
              </w:numPr>
              <w:rPr>
                <w:rFonts w:ascii="Candara" w:hAnsi="Candara"/>
              </w:rPr>
            </w:pPr>
            <w:r w:rsidRPr="0016235B">
              <w:rPr>
                <w:rFonts w:ascii="Candara" w:hAnsi="Candara"/>
              </w:rPr>
              <w:t>83% had guidelines for diagnosis and treatment</w:t>
            </w:r>
            <w:r w:rsidR="005A657D" w:rsidRPr="0016235B">
              <w:rPr>
                <w:rFonts w:ascii="Candara" w:hAnsi="Candara"/>
              </w:rPr>
              <w:t xml:space="preserve"> and provided IPT for malaria</w:t>
            </w:r>
          </w:p>
          <w:p w14:paraId="718B617D" w14:textId="0E456A41" w:rsidR="00762EC6" w:rsidRPr="0016235B" w:rsidRDefault="005A657D" w:rsidP="005722F2">
            <w:pPr>
              <w:pStyle w:val="ListParagraph"/>
              <w:numPr>
                <w:ilvl w:val="0"/>
                <w:numId w:val="10"/>
              </w:numPr>
              <w:rPr>
                <w:rFonts w:ascii="Candara" w:hAnsi="Candara"/>
              </w:rPr>
            </w:pPr>
            <w:r w:rsidRPr="0016235B">
              <w:rPr>
                <w:rFonts w:ascii="Candara" w:hAnsi="Candara"/>
              </w:rPr>
              <w:t>7</w:t>
            </w:r>
            <w:r w:rsidR="00762EC6" w:rsidRPr="0016235B">
              <w:rPr>
                <w:rFonts w:ascii="Candara" w:hAnsi="Candara"/>
              </w:rPr>
              <w:t xml:space="preserve">2% </w:t>
            </w:r>
            <w:r w:rsidRPr="0016235B">
              <w:rPr>
                <w:rFonts w:ascii="Candara" w:hAnsi="Candara"/>
              </w:rPr>
              <w:t>had providers who had received training on malaria treatment in the last 2 years</w:t>
            </w:r>
            <w:r w:rsidR="00762EC6" w:rsidRPr="0016235B">
              <w:rPr>
                <w:rFonts w:ascii="Candara" w:hAnsi="Candara"/>
              </w:rPr>
              <w:t xml:space="preserve"> </w:t>
            </w:r>
          </w:p>
          <w:p w14:paraId="213DF25F" w14:textId="4F91B89B" w:rsidR="00762EC6" w:rsidRPr="0016235B" w:rsidRDefault="00762EC6" w:rsidP="005722F2">
            <w:pPr>
              <w:pStyle w:val="ListParagraph"/>
              <w:numPr>
                <w:ilvl w:val="0"/>
                <w:numId w:val="10"/>
              </w:numPr>
              <w:rPr>
                <w:rFonts w:ascii="Candara" w:hAnsi="Candara"/>
                <w:b/>
              </w:rPr>
            </w:pPr>
            <w:r w:rsidRPr="0016235B">
              <w:rPr>
                <w:rFonts w:ascii="Candara" w:hAnsi="Candara"/>
              </w:rPr>
              <w:t>Only 64% had sta</w:t>
            </w:r>
            <w:r w:rsidR="005A657D" w:rsidRPr="0016235B">
              <w:rPr>
                <w:rFonts w:ascii="Candara" w:hAnsi="Candara"/>
              </w:rPr>
              <w:t>ff trained in malaria diagnosis</w:t>
            </w:r>
          </w:p>
        </w:tc>
      </w:tr>
    </w:tbl>
    <w:p w14:paraId="19A82D8E" w14:textId="33FF34BC" w:rsidR="006A3504" w:rsidRPr="0016235B" w:rsidRDefault="005D509E" w:rsidP="00BC7AFF">
      <w:pPr>
        <w:rPr>
          <w:rFonts w:ascii="Candara" w:hAnsi="Candara"/>
          <w:b/>
          <w:sz w:val="24"/>
          <w:szCs w:val="24"/>
        </w:rPr>
      </w:pPr>
      <w:r w:rsidRPr="0016235B">
        <w:rPr>
          <w:rFonts w:ascii="Candara" w:hAnsi="Candara"/>
          <w:b/>
          <w:sz w:val="24"/>
          <w:szCs w:val="24"/>
        </w:rPr>
        <w:lastRenderedPageBreak/>
        <w:t>Methods used at facilities for diagnosing malaria</w:t>
      </w:r>
    </w:p>
    <w:p w14:paraId="6CE7A9A6" w14:textId="5D0F52A0" w:rsidR="006A3504" w:rsidRPr="0016235B" w:rsidRDefault="005A657D" w:rsidP="006A3504">
      <w:pPr>
        <w:rPr>
          <w:rFonts w:ascii="Candara" w:hAnsi="Candara"/>
          <w:color w:val="FF0000"/>
        </w:rPr>
      </w:pPr>
      <w:r w:rsidRPr="0016235B">
        <w:rPr>
          <w:rFonts w:ascii="Candara" w:hAnsi="Candara"/>
          <w:noProof/>
        </w:rPr>
        <w:drawing>
          <wp:inline distT="0" distB="0" distL="0" distR="0" wp14:anchorId="2FE1A05D" wp14:editId="0970DBCD">
            <wp:extent cx="5024438" cy="3024188"/>
            <wp:effectExtent l="0" t="0" r="5080" b="5080"/>
            <wp:docPr id="117" name="Chart 1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231E11B" w14:textId="77777777" w:rsidR="005A657D" w:rsidRPr="0016235B" w:rsidRDefault="005A657D" w:rsidP="006A3504">
      <w:pPr>
        <w:rPr>
          <w:rFonts w:ascii="Candara" w:hAnsi="Candara"/>
          <w:color w:val="FF0000"/>
        </w:rPr>
      </w:pPr>
    </w:p>
    <w:tbl>
      <w:tblPr>
        <w:tblStyle w:val="TableGrid"/>
        <w:tblW w:w="0" w:type="auto"/>
        <w:tblLook w:val="04A0" w:firstRow="1" w:lastRow="0" w:firstColumn="1" w:lastColumn="0" w:noHBand="0" w:noVBand="1"/>
      </w:tblPr>
      <w:tblGrid>
        <w:gridCol w:w="9242"/>
      </w:tblGrid>
      <w:tr w:rsidR="009F2B75" w:rsidRPr="0016235B" w14:paraId="24FCD9E6" w14:textId="77777777" w:rsidTr="005D509E">
        <w:tc>
          <w:tcPr>
            <w:tcW w:w="9350" w:type="dxa"/>
          </w:tcPr>
          <w:p w14:paraId="7F8B7B0F" w14:textId="7D11D30F" w:rsidR="005D509E" w:rsidRPr="0016235B" w:rsidRDefault="005D509E" w:rsidP="006A3504">
            <w:pPr>
              <w:rPr>
                <w:rFonts w:ascii="Candara" w:hAnsi="Candara"/>
                <w:b/>
                <w:color w:val="000000" w:themeColor="text1"/>
              </w:rPr>
            </w:pPr>
            <w:r w:rsidRPr="0016235B">
              <w:rPr>
                <w:rFonts w:ascii="Candara" w:hAnsi="Candara"/>
                <w:b/>
                <w:color w:val="000000" w:themeColor="text1"/>
              </w:rPr>
              <w:t>Key find</w:t>
            </w:r>
            <w:r w:rsidR="00BC7AFF" w:rsidRPr="0016235B">
              <w:rPr>
                <w:rFonts w:ascii="Candara" w:hAnsi="Candara"/>
                <w:b/>
                <w:color w:val="000000" w:themeColor="text1"/>
              </w:rPr>
              <w:t>ing</w:t>
            </w:r>
            <w:r w:rsidRPr="0016235B">
              <w:rPr>
                <w:rFonts w:ascii="Candara" w:hAnsi="Candara"/>
                <w:b/>
                <w:color w:val="000000" w:themeColor="text1"/>
              </w:rPr>
              <w:t>s</w:t>
            </w:r>
          </w:p>
        </w:tc>
      </w:tr>
      <w:tr w:rsidR="009F2B75" w:rsidRPr="0016235B" w14:paraId="1C0B6506" w14:textId="77777777" w:rsidTr="005D509E">
        <w:tc>
          <w:tcPr>
            <w:tcW w:w="9350" w:type="dxa"/>
          </w:tcPr>
          <w:p w14:paraId="0FB44D6A" w14:textId="2F975AFE" w:rsidR="005D509E" w:rsidRPr="0016235B" w:rsidRDefault="001B1C5B" w:rsidP="005722F2">
            <w:pPr>
              <w:pStyle w:val="ListParagraph"/>
              <w:numPr>
                <w:ilvl w:val="0"/>
                <w:numId w:val="9"/>
              </w:numPr>
              <w:rPr>
                <w:rFonts w:ascii="Candara" w:hAnsi="Candara"/>
                <w:color w:val="000000" w:themeColor="text1"/>
              </w:rPr>
            </w:pPr>
            <w:r w:rsidRPr="0016235B">
              <w:rPr>
                <w:rFonts w:ascii="Candara" w:hAnsi="Candara"/>
                <w:color w:val="000000" w:themeColor="text1"/>
              </w:rPr>
              <w:t>Of the facilities that offer</w:t>
            </w:r>
            <w:r w:rsidR="003B7C28">
              <w:rPr>
                <w:rFonts w:ascii="Candara" w:hAnsi="Candara"/>
                <w:color w:val="000000" w:themeColor="text1"/>
              </w:rPr>
              <w:t>ed</w:t>
            </w:r>
            <w:r w:rsidRPr="0016235B">
              <w:rPr>
                <w:rFonts w:ascii="Candara" w:hAnsi="Candara"/>
                <w:color w:val="000000" w:themeColor="text1"/>
              </w:rPr>
              <w:t xml:space="preserve"> malaria services, </w:t>
            </w:r>
            <w:r w:rsidR="005D509E" w:rsidRPr="0016235B">
              <w:rPr>
                <w:rFonts w:ascii="Candara" w:hAnsi="Candara"/>
                <w:color w:val="000000" w:themeColor="text1"/>
              </w:rPr>
              <w:t>9</w:t>
            </w:r>
            <w:r w:rsidR="006C4A97" w:rsidRPr="0016235B">
              <w:rPr>
                <w:rFonts w:ascii="Candara" w:hAnsi="Candara"/>
                <w:color w:val="000000" w:themeColor="text1"/>
              </w:rPr>
              <w:t>8</w:t>
            </w:r>
            <w:r w:rsidR="005D509E" w:rsidRPr="0016235B">
              <w:rPr>
                <w:rFonts w:ascii="Candara" w:hAnsi="Candara"/>
                <w:color w:val="000000" w:themeColor="text1"/>
              </w:rPr>
              <w:t xml:space="preserve">% </w:t>
            </w:r>
            <w:r w:rsidRPr="0016235B">
              <w:rPr>
                <w:rFonts w:ascii="Candara" w:hAnsi="Candara"/>
                <w:color w:val="000000" w:themeColor="text1"/>
              </w:rPr>
              <w:t>provide</w:t>
            </w:r>
            <w:r w:rsidR="003B7C28">
              <w:rPr>
                <w:rFonts w:ascii="Candara" w:hAnsi="Candara"/>
                <w:color w:val="000000" w:themeColor="text1"/>
              </w:rPr>
              <w:t>d</w:t>
            </w:r>
            <w:r w:rsidR="006C4A97" w:rsidRPr="0016235B">
              <w:rPr>
                <w:rFonts w:ascii="Candara" w:hAnsi="Candara"/>
                <w:color w:val="000000" w:themeColor="text1"/>
              </w:rPr>
              <w:t xml:space="preserve"> </w:t>
            </w:r>
            <w:r w:rsidR="005D509E" w:rsidRPr="0016235B">
              <w:rPr>
                <w:rFonts w:ascii="Candara" w:hAnsi="Candara"/>
                <w:color w:val="000000" w:themeColor="text1"/>
              </w:rPr>
              <w:t xml:space="preserve">malaria </w:t>
            </w:r>
            <w:r w:rsidR="00D836A3" w:rsidRPr="0016235B">
              <w:rPr>
                <w:rFonts w:ascii="Candara" w:hAnsi="Candara"/>
                <w:color w:val="000000" w:themeColor="text1"/>
              </w:rPr>
              <w:t xml:space="preserve">diagnostic </w:t>
            </w:r>
            <w:r w:rsidR="005D509E" w:rsidRPr="0016235B">
              <w:rPr>
                <w:rFonts w:ascii="Candara" w:hAnsi="Candara"/>
                <w:color w:val="000000" w:themeColor="text1"/>
              </w:rPr>
              <w:t xml:space="preserve">services </w:t>
            </w:r>
          </w:p>
          <w:p w14:paraId="13401251" w14:textId="7F60E8AA" w:rsidR="005D509E" w:rsidRPr="0016235B" w:rsidRDefault="00815396" w:rsidP="005722F2">
            <w:pPr>
              <w:pStyle w:val="ListParagraph"/>
              <w:numPr>
                <w:ilvl w:val="0"/>
                <w:numId w:val="9"/>
              </w:numPr>
              <w:rPr>
                <w:rFonts w:ascii="Candara" w:hAnsi="Candara"/>
                <w:color w:val="000000" w:themeColor="text1"/>
              </w:rPr>
            </w:pPr>
            <w:r w:rsidRPr="0016235B">
              <w:rPr>
                <w:rFonts w:ascii="Candara" w:hAnsi="Candara"/>
                <w:color w:val="000000" w:themeColor="text1"/>
              </w:rPr>
              <w:t>Most</w:t>
            </w:r>
            <w:r w:rsidR="001B1C5B" w:rsidRPr="0016235B">
              <w:rPr>
                <w:rFonts w:ascii="Candara" w:hAnsi="Candara"/>
                <w:color w:val="000000" w:themeColor="text1"/>
              </w:rPr>
              <w:t xml:space="preserve"> of these</w:t>
            </w:r>
            <w:r w:rsidRPr="0016235B">
              <w:rPr>
                <w:rFonts w:ascii="Candara" w:hAnsi="Candara"/>
                <w:color w:val="000000" w:themeColor="text1"/>
              </w:rPr>
              <w:t xml:space="preserve"> facilities </w:t>
            </w:r>
            <w:r w:rsidR="001B1C5B" w:rsidRPr="0016235B">
              <w:rPr>
                <w:rFonts w:ascii="Candara" w:hAnsi="Candara"/>
                <w:color w:val="000000" w:themeColor="text1"/>
              </w:rPr>
              <w:t>diagnose</w:t>
            </w:r>
            <w:r w:rsidR="003B7C28">
              <w:rPr>
                <w:rFonts w:ascii="Candara" w:hAnsi="Candara"/>
                <w:color w:val="000000" w:themeColor="text1"/>
              </w:rPr>
              <w:t>d</w:t>
            </w:r>
            <w:r w:rsidR="001B1C5B" w:rsidRPr="0016235B">
              <w:rPr>
                <w:rFonts w:ascii="Candara" w:hAnsi="Candara"/>
                <w:color w:val="000000" w:themeColor="text1"/>
              </w:rPr>
              <w:t xml:space="preserve"> malaria </w:t>
            </w:r>
            <w:r w:rsidR="003B7C28" w:rsidRPr="0016235B">
              <w:rPr>
                <w:rFonts w:ascii="Candara" w:hAnsi="Candara"/>
                <w:color w:val="000000" w:themeColor="text1"/>
              </w:rPr>
              <w:t>using RDTs</w:t>
            </w:r>
            <w:r w:rsidRPr="0016235B">
              <w:rPr>
                <w:rFonts w:ascii="Candara" w:hAnsi="Candara"/>
                <w:color w:val="000000" w:themeColor="text1"/>
              </w:rPr>
              <w:t xml:space="preserve"> </w:t>
            </w:r>
            <w:r w:rsidR="001B1C5B" w:rsidRPr="0016235B">
              <w:rPr>
                <w:rFonts w:ascii="Candara" w:hAnsi="Candara"/>
                <w:color w:val="000000" w:themeColor="text1"/>
              </w:rPr>
              <w:t xml:space="preserve">(93%) </w:t>
            </w:r>
            <w:r w:rsidRPr="0016235B">
              <w:rPr>
                <w:rFonts w:ascii="Candara" w:hAnsi="Candara"/>
                <w:color w:val="000000" w:themeColor="text1"/>
              </w:rPr>
              <w:t xml:space="preserve">whereas 65% </w:t>
            </w:r>
            <w:r w:rsidR="001B1C5B" w:rsidRPr="0016235B">
              <w:rPr>
                <w:rFonts w:ascii="Candara" w:hAnsi="Candara"/>
                <w:color w:val="000000" w:themeColor="text1"/>
              </w:rPr>
              <w:t>use</w:t>
            </w:r>
            <w:r w:rsidR="003B7C28">
              <w:rPr>
                <w:rFonts w:ascii="Candara" w:hAnsi="Candara"/>
                <w:color w:val="000000" w:themeColor="text1"/>
              </w:rPr>
              <w:t xml:space="preserve">d </w:t>
            </w:r>
            <w:r w:rsidRPr="0016235B">
              <w:rPr>
                <w:rFonts w:ascii="Candara" w:hAnsi="Candara"/>
                <w:color w:val="000000" w:themeColor="text1"/>
              </w:rPr>
              <w:t xml:space="preserve">microscopy and clinical </w:t>
            </w:r>
            <w:r w:rsidR="001B1C5B" w:rsidRPr="0016235B">
              <w:rPr>
                <w:rFonts w:ascii="Candara" w:hAnsi="Candara"/>
                <w:color w:val="000000" w:themeColor="text1"/>
              </w:rPr>
              <w:t>symptoms</w:t>
            </w:r>
          </w:p>
        </w:tc>
      </w:tr>
    </w:tbl>
    <w:p w14:paraId="7BAFC7C2" w14:textId="77777777" w:rsidR="00BC7AFF" w:rsidRPr="0016235B" w:rsidRDefault="00BC7AFF" w:rsidP="00BC7AFF">
      <w:pPr>
        <w:rPr>
          <w:rFonts w:ascii="Candara" w:hAnsi="Candara"/>
          <w:b/>
          <w:bCs/>
          <w:u w:val="single"/>
        </w:rPr>
      </w:pPr>
    </w:p>
    <w:p w14:paraId="41945B1C" w14:textId="218F6433" w:rsidR="00815396" w:rsidRPr="0016235B" w:rsidRDefault="00815396" w:rsidP="00251C14">
      <w:pPr>
        <w:rPr>
          <w:rFonts w:ascii="Candara" w:hAnsi="Candara"/>
          <w:b/>
          <w:bCs/>
          <w:sz w:val="24"/>
          <w:szCs w:val="24"/>
        </w:rPr>
      </w:pPr>
      <w:r w:rsidRPr="0016235B">
        <w:rPr>
          <w:rFonts w:ascii="Candara" w:hAnsi="Candara"/>
          <w:b/>
          <w:bCs/>
          <w:sz w:val="24"/>
          <w:szCs w:val="24"/>
        </w:rPr>
        <w:t>Percent of facilities with malaria RDT kits and those which experienced a stock-out</w:t>
      </w:r>
    </w:p>
    <w:p w14:paraId="7B9472D6" w14:textId="1503C2C9" w:rsidR="00815396" w:rsidRPr="0016235B" w:rsidRDefault="00815396" w:rsidP="006A3504">
      <w:pPr>
        <w:rPr>
          <w:rFonts w:ascii="Candara" w:hAnsi="Candara"/>
          <w:color w:val="FF0000"/>
        </w:rPr>
      </w:pPr>
      <w:r w:rsidRPr="0016235B">
        <w:rPr>
          <w:rFonts w:ascii="Candara" w:hAnsi="Candara"/>
          <w:noProof/>
        </w:rPr>
        <w:drawing>
          <wp:inline distT="0" distB="0" distL="0" distR="0" wp14:anchorId="7E80E23C" wp14:editId="6C37D2C5">
            <wp:extent cx="6448425" cy="2609850"/>
            <wp:effectExtent l="0" t="0" r="9525" b="0"/>
            <wp:docPr id="13" name="Chart 13">
              <a:extLst xmlns:a="http://schemas.openxmlformats.org/drawingml/2006/main">
                <a:ext uri="{FF2B5EF4-FFF2-40B4-BE49-F238E27FC236}">
                  <a16:creationId xmlns:a16="http://schemas.microsoft.com/office/drawing/2014/main" id="{00000000-0008-0000-18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E95B59A" w14:textId="77777777" w:rsidR="005A657D" w:rsidRPr="0016235B" w:rsidRDefault="005A657D" w:rsidP="006A3504">
      <w:pPr>
        <w:rPr>
          <w:rFonts w:ascii="Candara" w:hAnsi="Candara"/>
          <w:color w:val="FF0000"/>
        </w:rPr>
      </w:pPr>
    </w:p>
    <w:tbl>
      <w:tblPr>
        <w:tblStyle w:val="PlainTable1"/>
        <w:tblW w:w="9085" w:type="dxa"/>
        <w:tblLook w:val="04A0" w:firstRow="1" w:lastRow="0" w:firstColumn="1" w:lastColumn="0" w:noHBand="0" w:noVBand="1"/>
      </w:tblPr>
      <w:tblGrid>
        <w:gridCol w:w="9085"/>
      </w:tblGrid>
      <w:tr w:rsidR="00815396" w:rsidRPr="0016235B" w14:paraId="2A895794" w14:textId="77777777" w:rsidTr="00CC35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5" w:type="dxa"/>
          </w:tcPr>
          <w:p w14:paraId="3512BA7F" w14:textId="328CE83E" w:rsidR="00815396" w:rsidRPr="0016235B" w:rsidRDefault="00815396" w:rsidP="006A3504">
            <w:pPr>
              <w:rPr>
                <w:rFonts w:ascii="Candara" w:hAnsi="Candara"/>
              </w:rPr>
            </w:pPr>
            <w:r w:rsidRPr="0016235B">
              <w:rPr>
                <w:rFonts w:ascii="Candara" w:hAnsi="Candara"/>
              </w:rPr>
              <w:t>Key findings</w:t>
            </w:r>
          </w:p>
        </w:tc>
      </w:tr>
      <w:tr w:rsidR="00815396" w:rsidRPr="0016235B" w14:paraId="5DA7699A" w14:textId="77777777" w:rsidTr="00CC352D">
        <w:trPr>
          <w:cnfStyle w:val="000000100000" w:firstRow="0" w:lastRow="0" w:firstColumn="0" w:lastColumn="0" w:oddVBand="0" w:evenVBand="0" w:oddHBand="1" w:evenHBand="0" w:firstRowFirstColumn="0" w:firstRowLastColumn="0" w:lastRowFirstColumn="0" w:lastRowLastColumn="0"/>
          <w:trHeight w:val="1245"/>
        </w:trPr>
        <w:tc>
          <w:tcPr>
            <w:cnfStyle w:val="001000000000" w:firstRow="0" w:lastRow="0" w:firstColumn="1" w:lastColumn="0" w:oddVBand="0" w:evenVBand="0" w:oddHBand="0" w:evenHBand="0" w:firstRowFirstColumn="0" w:firstRowLastColumn="0" w:lastRowFirstColumn="0" w:lastRowLastColumn="0"/>
            <w:tcW w:w="9085" w:type="dxa"/>
            <w:shd w:val="clear" w:color="auto" w:fill="auto"/>
          </w:tcPr>
          <w:p w14:paraId="3163ED7F" w14:textId="02B03D18" w:rsidR="00815396" w:rsidRPr="0016235B" w:rsidRDefault="00815396" w:rsidP="005722F2">
            <w:pPr>
              <w:pStyle w:val="ListParagraph"/>
              <w:numPr>
                <w:ilvl w:val="0"/>
                <w:numId w:val="11"/>
              </w:numPr>
              <w:jc w:val="both"/>
              <w:rPr>
                <w:rFonts w:ascii="Candara" w:hAnsi="Candara"/>
                <w:b w:val="0"/>
              </w:rPr>
            </w:pPr>
            <w:r w:rsidRPr="0016235B">
              <w:rPr>
                <w:rFonts w:ascii="Candara" w:hAnsi="Candara"/>
                <w:b w:val="0"/>
              </w:rPr>
              <w:t xml:space="preserve">96% </w:t>
            </w:r>
            <w:r w:rsidR="00AB74CE" w:rsidRPr="0016235B">
              <w:rPr>
                <w:rFonts w:ascii="Candara" w:hAnsi="Candara"/>
                <w:b w:val="0"/>
              </w:rPr>
              <w:t xml:space="preserve">of the facilities had stocks of RDT kits </w:t>
            </w:r>
            <w:r w:rsidR="00CC352D" w:rsidRPr="0016235B">
              <w:rPr>
                <w:rFonts w:ascii="Candara" w:hAnsi="Candara"/>
                <w:b w:val="0"/>
              </w:rPr>
              <w:t>at the time of the survey</w:t>
            </w:r>
          </w:p>
          <w:p w14:paraId="509ED556" w14:textId="2577E117" w:rsidR="00AB74CE" w:rsidRPr="0016235B" w:rsidRDefault="00AB74CE" w:rsidP="005722F2">
            <w:pPr>
              <w:pStyle w:val="ListParagraph"/>
              <w:numPr>
                <w:ilvl w:val="0"/>
                <w:numId w:val="11"/>
              </w:numPr>
              <w:jc w:val="both"/>
              <w:rPr>
                <w:rFonts w:ascii="Candara" w:hAnsi="Candara"/>
                <w:b w:val="0"/>
              </w:rPr>
            </w:pPr>
            <w:r w:rsidRPr="0016235B">
              <w:rPr>
                <w:rFonts w:ascii="Candara" w:hAnsi="Candara"/>
                <w:b w:val="0"/>
              </w:rPr>
              <w:t xml:space="preserve">29% </w:t>
            </w:r>
            <w:r w:rsidR="00457D8C" w:rsidRPr="0016235B">
              <w:rPr>
                <w:rFonts w:ascii="Candara" w:hAnsi="Candara"/>
                <w:b w:val="0"/>
              </w:rPr>
              <w:t>of the</w:t>
            </w:r>
            <w:r w:rsidR="00CC352D" w:rsidRPr="0016235B">
              <w:rPr>
                <w:rFonts w:ascii="Candara" w:hAnsi="Candara"/>
                <w:b w:val="0"/>
              </w:rPr>
              <w:t>se</w:t>
            </w:r>
            <w:r w:rsidR="00457D8C" w:rsidRPr="0016235B">
              <w:rPr>
                <w:rFonts w:ascii="Candara" w:hAnsi="Candara"/>
                <w:b w:val="0"/>
              </w:rPr>
              <w:t xml:space="preserve"> facilities </w:t>
            </w:r>
            <w:r w:rsidR="00CC352D" w:rsidRPr="0016235B">
              <w:rPr>
                <w:rFonts w:ascii="Candara" w:hAnsi="Candara"/>
                <w:b w:val="0"/>
              </w:rPr>
              <w:t xml:space="preserve">experienced a stock-out of </w:t>
            </w:r>
            <w:r w:rsidRPr="0016235B">
              <w:rPr>
                <w:rFonts w:ascii="Candara" w:hAnsi="Candara"/>
                <w:b w:val="0"/>
              </w:rPr>
              <w:t>RDT in the 4 weeks</w:t>
            </w:r>
            <w:r w:rsidR="00457D8C" w:rsidRPr="0016235B">
              <w:rPr>
                <w:rFonts w:ascii="Candara" w:hAnsi="Candara"/>
                <w:b w:val="0"/>
              </w:rPr>
              <w:t xml:space="preserve"> preceding </w:t>
            </w:r>
            <w:r w:rsidR="00CC352D" w:rsidRPr="0016235B">
              <w:rPr>
                <w:rFonts w:ascii="Candara" w:hAnsi="Candara"/>
                <w:b w:val="0"/>
              </w:rPr>
              <w:t>the survey</w:t>
            </w:r>
          </w:p>
          <w:p w14:paraId="41AE625D" w14:textId="57719780" w:rsidR="00457D8C" w:rsidRPr="0016235B" w:rsidRDefault="00CC352D" w:rsidP="005722F2">
            <w:pPr>
              <w:pStyle w:val="ListParagraph"/>
              <w:numPr>
                <w:ilvl w:val="0"/>
                <w:numId w:val="11"/>
              </w:numPr>
              <w:jc w:val="both"/>
              <w:rPr>
                <w:rFonts w:ascii="Candara" w:hAnsi="Candara"/>
                <w:b w:val="0"/>
              </w:rPr>
            </w:pPr>
            <w:r w:rsidRPr="0016235B">
              <w:rPr>
                <w:rFonts w:ascii="Candara" w:hAnsi="Candara"/>
                <w:b w:val="0"/>
              </w:rPr>
              <w:t xml:space="preserve">In </w:t>
            </w:r>
            <w:r w:rsidR="00AB74CE" w:rsidRPr="0016235B">
              <w:rPr>
                <w:rFonts w:ascii="Candara" w:hAnsi="Candara"/>
                <w:b w:val="0"/>
              </w:rPr>
              <w:t>52%</w:t>
            </w:r>
            <w:r w:rsidR="00457D8C" w:rsidRPr="0016235B">
              <w:rPr>
                <w:rFonts w:ascii="Candara" w:hAnsi="Candara"/>
                <w:b w:val="0"/>
              </w:rPr>
              <w:t xml:space="preserve"> of the </w:t>
            </w:r>
            <w:r w:rsidRPr="0016235B">
              <w:rPr>
                <w:rFonts w:ascii="Candara" w:hAnsi="Candara"/>
                <w:b w:val="0"/>
              </w:rPr>
              <w:t xml:space="preserve">facilities that experienced a stock out, the stock out lasted </w:t>
            </w:r>
            <w:r w:rsidR="00457D8C" w:rsidRPr="0016235B">
              <w:rPr>
                <w:rFonts w:ascii="Candara" w:hAnsi="Candara"/>
                <w:b w:val="0"/>
              </w:rPr>
              <w:t>less than a week</w:t>
            </w:r>
          </w:p>
          <w:p w14:paraId="71F1A081" w14:textId="5DDF8FAC" w:rsidR="00457D8C" w:rsidRPr="0016235B" w:rsidRDefault="00457D8C" w:rsidP="005722F2">
            <w:pPr>
              <w:pStyle w:val="ListParagraph"/>
              <w:numPr>
                <w:ilvl w:val="0"/>
                <w:numId w:val="11"/>
              </w:numPr>
              <w:jc w:val="both"/>
              <w:rPr>
                <w:rFonts w:ascii="Candara" w:hAnsi="Candara"/>
              </w:rPr>
            </w:pPr>
            <w:r w:rsidRPr="0016235B">
              <w:rPr>
                <w:rFonts w:ascii="Candara" w:hAnsi="Candara"/>
                <w:b w:val="0"/>
              </w:rPr>
              <w:t>28% had</w:t>
            </w:r>
            <w:r w:rsidR="00DA033C" w:rsidRPr="0016235B">
              <w:rPr>
                <w:rFonts w:ascii="Candara" w:hAnsi="Candara"/>
                <w:b w:val="0"/>
              </w:rPr>
              <w:t xml:space="preserve"> had the stock out </w:t>
            </w:r>
            <w:r w:rsidR="00CC352D" w:rsidRPr="0016235B">
              <w:rPr>
                <w:rFonts w:ascii="Candara" w:hAnsi="Candara"/>
                <w:b w:val="0"/>
              </w:rPr>
              <w:t>lasting more than 2 weeks</w:t>
            </w:r>
          </w:p>
        </w:tc>
      </w:tr>
    </w:tbl>
    <w:p w14:paraId="315C93B6" w14:textId="136F50E0" w:rsidR="00DA033C" w:rsidRPr="0016235B" w:rsidRDefault="00DA033C" w:rsidP="00815396">
      <w:pPr>
        <w:tabs>
          <w:tab w:val="left" w:pos="8400"/>
        </w:tabs>
        <w:rPr>
          <w:rFonts w:ascii="Candara" w:hAnsi="Candara"/>
        </w:rPr>
      </w:pPr>
    </w:p>
    <w:p w14:paraId="147F3024" w14:textId="018D6B36" w:rsidR="00672B04" w:rsidRPr="0016235B" w:rsidRDefault="00ED2B53" w:rsidP="005722F2">
      <w:pPr>
        <w:pStyle w:val="Heading2"/>
        <w:numPr>
          <w:ilvl w:val="1"/>
          <w:numId w:val="25"/>
        </w:numPr>
        <w:rPr>
          <w:rFonts w:ascii="Candara" w:hAnsi="Candara"/>
          <w:b/>
          <w:sz w:val="28"/>
          <w:szCs w:val="28"/>
        </w:rPr>
      </w:pPr>
      <w:bookmarkStart w:id="34" w:name="_Toc11494047"/>
      <w:r w:rsidRPr="0016235B">
        <w:rPr>
          <w:rFonts w:ascii="Candara" w:hAnsi="Candara"/>
          <w:b/>
          <w:sz w:val="28"/>
          <w:szCs w:val="28"/>
        </w:rPr>
        <w:t>Family Planning Services</w:t>
      </w:r>
      <w:bookmarkEnd w:id="34"/>
    </w:p>
    <w:p w14:paraId="2956A0F4" w14:textId="77777777" w:rsidR="00ED2B53" w:rsidRPr="0016235B" w:rsidRDefault="00ED2B53" w:rsidP="00672B04">
      <w:pPr>
        <w:jc w:val="both"/>
        <w:rPr>
          <w:rFonts w:ascii="Candara" w:eastAsia="MS Mincho" w:hAnsi="Candara"/>
          <w:sz w:val="24"/>
          <w:szCs w:val="24"/>
        </w:rPr>
      </w:pPr>
    </w:p>
    <w:p w14:paraId="710CC4AD" w14:textId="7005B63A" w:rsidR="00672B04" w:rsidRPr="0016235B" w:rsidRDefault="00672B04" w:rsidP="00672B04">
      <w:pPr>
        <w:jc w:val="both"/>
        <w:rPr>
          <w:rFonts w:ascii="Candara" w:eastAsia="MS Mincho" w:hAnsi="Candara"/>
          <w:sz w:val="24"/>
          <w:szCs w:val="24"/>
        </w:rPr>
      </w:pPr>
      <w:r w:rsidRPr="0016235B">
        <w:rPr>
          <w:rFonts w:ascii="Candara" w:eastAsia="MS Mincho" w:hAnsi="Candara"/>
          <w:sz w:val="24"/>
          <w:szCs w:val="24"/>
        </w:rPr>
        <w:t xml:space="preserve">Family planning services </w:t>
      </w:r>
      <w:r w:rsidR="00ED2B53" w:rsidRPr="0016235B">
        <w:rPr>
          <w:rFonts w:ascii="Candara" w:eastAsia="MS Mincho" w:hAnsi="Candara"/>
          <w:sz w:val="24"/>
          <w:szCs w:val="24"/>
        </w:rPr>
        <w:t>assessed</w:t>
      </w:r>
      <w:r w:rsidRPr="0016235B">
        <w:rPr>
          <w:rFonts w:ascii="Candara" w:eastAsia="MS Mincho" w:hAnsi="Candara"/>
          <w:sz w:val="24"/>
          <w:szCs w:val="24"/>
        </w:rPr>
        <w:t xml:space="preserve"> include the following: Male condoms, combined estrogen progesterone oral contraceptive pills, combined oral contraceptive pills (e.g. </w:t>
      </w:r>
      <w:proofErr w:type="spellStart"/>
      <w:r w:rsidRPr="0016235B">
        <w:rPr>
          <w:rFonts w:ascii="Candara" w:eastAsia="MS Mincho" w:hAnsi="Candara"/>
          <w:sz w:val="24"/>
          <w:szCs w:val="24"/>
        </w:rPr>
        <w:t>Microgynon</w:t>
      </w:r>
      <w:proofErr w:type="spellEnd"/>
      <w:r w:rsidRPr="0016235B">
        <w:rPr>
          <w:rFonts w:ascii="Candara" w:eastAsia="MS Mincho" w:hAnsi="Candara"/>
          <w:sz w:val="24"/>
          <w:szCs w:val="24"/>
        </w:rPr>
        <w:t xml:space="preserve">), combined estrogen progesterone injectable contraceptives, progestin-only injectable contraceptives, implants, IUCD, Emergency contraceptive </w:t>
      </w:r>
      <w:r w:rsidR="00ED2B53" w:rsidRPr="0016235B">
        <w:rPr>
          <w:rFonts w:ascii="Candara" w:eastAsia="MS Mincho" w:hAnsi="Candara"/>
          <w:sz w:val="24"/>
          <w:szCs w:val="24"/>
        </w:rPr>
        <w:t>p</w:t>
      </w:r>
      <w:r w:rsidRPr="0016235B">
        <w:rPr>
          <w:rFonts w:ascii="Candara" w:eastAsia="MS Mincho" w:hAnsi="Candara"/>
          <w:sz w:val="24"/>
          <w:szCs w:val="24"/>
        </w:rPr>
        <w:t xml:space="preserve">ills, progestin-only contraceptive pills, female condoms, cycle beads, female and male sterilization. </w:t>
      </w:r>
    </w:p>
    <w:p w14:paraId="11E20448" w14:textId="2C684A0F" w:rsidR="00672B04" w:rsidRPr="0016235B" w:rsidRDefault="00672B04" w:rsidP="00672B04">
      <w:pPr>
        <w:jc w:val="both"/>
        <w:rPr>
          <w:rFonts w:ascii="Candara" w:eastAsia="Times New Roman" w:hAnsi="Candara" w:cs="Times New Roman"/>
          <w:b/>
          <w:bCs/>
          <w:color w:val="00B0F0"/>
          <w:sz w:val="24"/>
          <w:szCs w:val="24"/>
          <w:lang w:eastAsia="en-GB"/>
        </w:rPr>
      </w:pPr>
      <w:r w:rsidRPr="0016235B">
        <w:rPr>
          <w:rFonts w:ascii="Candara" w:eastAsia="Times New Roman" w:hAnsi="Candara" w:cs="Times New Roman"/>
          <w:b/>
          <w:bCs/>
          <w:sz w:val="24"/>
          <w:szCs w:val="24"/>
          <w:lang w:eastAsia="en-GB"/>
        </w:rPr>
        <w:t>Percent of facilities that reported offering family planning services (N=16</w:t>
      </w:r>
      <w:r w:rsidR="00ED2B53"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26CAF322" w14:textId="3A323239" w:rsidR="00672B04" w:rsidRPr="0016235B" w:rsidRDefault="00ED2B53" w:rsidP="00672B04">
      <w:pPr>
        <w:jc w:val="both"/>
        <w:rPr>
          <w:rFonts w:ascii="Candara" w:hAnsi="Candara"/>
          <w:b/>
        </w:rPr>
      </w:pPr>
      <w:r w:rsidRPr="0016235B">
        <w:rPr>
          <w:rFonts w:ascii="Candara" w:hAnsi="Candara"/>
          <w:noProof/>
        </w:rPr>
        <w:drawing>
          <wp:inline distT="0" distB="0" distL="0" distR="0" wp14:anchorId="32BD96CA" wp14:editId="38D90863">
            <wp:extent cx="6010275" cy="3390900"/>
            <wp:effectExtent l="0" t="0" r="9525" b="0"/>
            <wp:docPr id="7" name="Chart 7">
              <a:extLst xmlns:a="http://schemas.openxmlformats.org/drawingml/2006/main">
                <a:ext uri="{FF2B5EF4-FFF2-40B4-BE49-F238E27FC236}">
                  <a16:creationId xmlns:a16="http://schemas.microsoft.com/office/drawing/2014/main" id="{DBD25F77-FC20-40AE-86F1-6E473348F6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52DE22F0" w14:textId="77777777" w:rsidR="00672B04" w:rsidRPr="0016235B" w:rsidRDefault="00672B04" w:rsidP="00672B04">
      <w:pPr>
        <w:jc w:val="both"/>
        <w:rPr>
          <w:rFonts w:ascii="Candara" w:hAnsi="Candara"/>
          <w:b/>
        </w:rPr>
      </w:pPr>
    </w:p>
    <w:p w14:paraId="2EEF24E2" w14:textId="1FF37E60" w:rsidR="00672B04" w:rsidRPr="0016235B" w:rsidRDefault="00672B04" w:rsidP="00672B04">
      <w:pPr>
        <w:jc w:val="both"/>
        <w:rPr>
          <w:rFonts w:ascii="Candara" w:eastAsia="Times New Roman" w:hAnsi="Candara" w:cs="Times New Roman"/>
          <w:b/>
          <w:bCs/>
          <w:color w:val="00B0F0"/>
          <w:lang w:eastAsia="en-GB"/>
        </w:rPr>
      </w:pPr>
      <w:r w:rsidRPr="0016235B">
        <w:rPr>
          <w:rFonts w:ascii="Candara" w:eastAsia="Times New Roman" w:hAnsi="Candara" w:cs="Times New Roman"/>
          <w:b/>
          <w:bCs/>
          <w:lang w:eastAsia="en-GB"/>
        </w:rPr>
        <w:t xml:space="preserve">Percent of facilities that reported offering family planning services by key equity </w:t>
      </w:r>
      <w:proofErr w:type="spellStart"/>
      <w:r w:rsidRPr="0016235B">
        <w:rPr>
          <w:rFonts w:ascii="Candara" w:eastAsia="Times New Roman" w:hAnsi="Candara" w:cs="Times New Roman"/>
          <w:b/>
          <w:bCs/>
          <w:lang w:eastAsia="en-GB"/>
        </w:rPr>
        <w:t>stratifiers</w:t>
      </w:r>
      <w:proofErr w:type="spellEnd"/>
      <w:r w:rsidRPr="0016235B">
        <w:rPr>
          <w:rFonts w:ascii="Candara" w:eastAsia="Times New Roman" w:hAnsi="Candara" w:cs="Times New Roman"/>
          <w:b/>
          <w:bCs/>
          <w:lang w:eastAsia="en-GB"/>
        </w:rPr>
        <w:t xml:space="preserve"> (N=16</w:t>
      </w:r>
      <w:r w:rsidR="00ED2B53" w:rsidRPr="0016235B">
        <w:rPr>
          <w:rFonts w:ascii="Candara" w:eastAsia="Times New Roman" w:hAnsi="Candara" w:cs="Times New Roman"/>
          <w:b/>
          <w:bCs/>
          <w:lang w:eastAsia="en-GB"/>
        </w:rPr>
        <w:t>6</w:t>
      </w:r>
      <w:r w:rsidRPr="0016235B">
        <w:rPr>
          <w:rFonts w:ascii="Candara" w:eastAsia="Times New Roman" w:hAnsi="Candara" w:cs="Times New Roman"/>
          <w:b/>
          <w:bCs/>
          <w:lang w:eastAsia="en-GB"/>
        </w:rPr>
        <w:t>)</w:t>
      </w:r>
    </w:p>
    <w:p w14:paraId="2766C7D2" w14:textId="0EDA3CE9" w:rsidR="00672B04" w:rsidRPr="0016235B" w:rsidRDefault="00A73D7A" w:rsidP="00672B04">
      <w:pPr>
        <w:jc w:val="both"/>
        <w:rPr>
          <w:rFonts w:ascii="Candara" w:hAnsi="Candara"/>
          <w:b/>
        </w:rPr>
      </w:pPr>
      <w:r w:rsidRPr="0016235B">
        <w:rPr>
          <w:rFonts w:ascii="Candara" w:hAnsi="Candara"/>
          <w:noProof/>
        </w:rPr>
        <w:lastRenderedPageBreak/>
        <w:drawing>
          <wp:inline distT="0" distB="0" distL="0" distR="0" wp14:anchorId="655F6506" wp14:editId="15CAAD84">
            <wp:extent cx="5915025" cy="3171825"/>
            <wp:effectExtent l="0" t="0" r="9525" b="9525"/>
            <wp:docPr id="63" name="Chart 63">
              <a:extLst xmlns:a="http://schemas.openxmlformats.org/drawingml/2006/main">
                <a:ext uri="{FF2B5EF4-FFF2-40B4-BE49-F238E27FC236}">
                  <a16:creationId xmlns:a16="http://schemas.microsoft.com/office/drawing/2014/main" id="{68B41256-3718-4675-8E58-336D175897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8C14428" w14:textId="1544121C" w:rsidR="00672B04" w:rsidRPr="0016235B" w:rsidRDefault="00672B04" w:rsidP="00A73D7A">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 of facilities that reported prescribing modern methods of family planning for unmarried adolescents (N=16</w:t>
      </w:r>
      <w:r w:rsidR="00A73D7A"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49608028" w14:textId="77777777" w:rsidR="00672B04" w:rsidRPr="0016235B" w:rsidRDefault="00672B04" w:rsidP="00672B04">
      <w:pPr>
        <w:jc w:val="both"/>
        <w:rPr>
          <w:rFonts w:ascii="Candara" w:hAnsi="Candara"/>
        </w:rPr>
      </w:pPr>
      <w:r w:rsidRPr="0016235B">
        <w:rPr>
          <w:rFonts w:ascii="Candara" w:hAnsi="Candara"/>
          <w:noProof/>
        </w:rPr>
        <w:drawing>
          <wp:inline distT="0" distB="0" distL="0" distR="0" wp14:anchorId="6FB24AFF" wp14:editId="6352BB6D">
            <wp:extent cx="5520519" cy="2743200"/>
            <wp:effectExtent l="0" t="0" r="4445" b="0"/>
            <wp:docPr id="23" name="Chart 23">
              <a:extLst xmlns:a="http://schemas.openxmlformats.org/drawingml/2006/main">
                <a:ext uri="{FF2B5EF4-FFF2-40B4-BE49-F238E27FC236}">
                  <a16:creationId xmlns:a16="http://schemas.microsoft.com/office/drawing/2014/main" id="{F3FAB7B9-83CA-4F31-9B44-DF2911989A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16215F44" w14:textId="08CC586E" w:rsidR="00672B04" w:rsidRPr="0016235B" w:rsidRDefault="00672B04" w:rsidP="00672B04">
      <w:pPr>
        <w:pStyle w:val="ListParagraph"/>
        <w:jc w:val="both"/>
        <w:rPr>
          <w:rFonts w:ascii="Candara" w:hAnsi="Candara"/>
          <w:b/>
        </w:rPr>
      </w:pPr>
    </w:p>
    <w:tbl>
      <w:tblPr>
        <w:tblStyle w:val="TableGrid"/>
        <w:tblW w:w="9535" w:type="dxa"/>
        <w:tblLook w:val="04A0" w:firstRow="1" w:lastRow="0" w:firstColumn="1" w:lastColumn="0" w:noHBand="0" w:noVBand="1"/>
      </w:tblPr>
      <w:tblGrid>
        <w:gridCol w:w="9535"/>
      </w:tblGrid>
      <w:tr w:rsidR="00ED2E24" w:rsidRPr="0016235B" w14:paraId="202B876A" w14:textId="77777777" w:rsidTr="00244BC6">
        <w:trPr>
          <w:trHeight w:val="262"/>
        </w:trPr>
        <w:tc>
          <w:tcPr>
            <w:tcW w:w="9535" w:type="dxa"/>
          </w:tcPr>
          <w:p w14:paraId="573B7CB1" w14:textId="77777777" w:rsidR="00ED2E24" w:rsidRPr="0016235B" w:rsidRDefault="00ED2E24" w:rsidP="00244BC6">
            <w:pPr>
              <w:rPr>
                <w:rFonts w:ascii="Candara" w:hAnsi="Candara"/>
                <w:b/>
              </w:rPr>
            </w:pPr>
            <w:r w:rsidRPr="0016235B">
              <w:rPr>
                <w:rFonts w:ascii="Candara" w:hAnsi="Candara"/>
                <w:b/>
              </w:rPr>
              <w:t>Key findings</w:t>
            </w:r>
          </w:p>
        </w:tc>
      </w:tr>
      <w:tr w:rsidR="00ED2E24" w:rsidRPr="0016235B" w14:paraId="7429085E" w14:textId="77777777" w:rsidTr="00244BC6">
        <w:trPr>
          <w:trHeight w:val="2222"/>
        </w:trPr>
        <w:tc>
          <w:tcPr>
            <w:tcW w:w="9535" w:type="dxa"/>
          </w:tcPr>
          <w:p w14:paraId="40F6C3AD" w14:textId="632F2E75" w:rsidR="00ED2E24" w:rsidRPr="0016235B" w:rsidRDefault="00ED2E24"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Male condom</w:t>
            </w:r>
            <w:r w:rsidR="00923DCC">
              <w:rPr>
                <w:rFonts w:ascii="Candara" w:hAnsi="Candara" w:cs="Times New Roman"/>
              </w:rPr>
              <w:t xml:space="preserve"> provision</w:t>
            </w:r>
            <w:r w:rsidRPr="0016235B">
              <w:rPr>
                <w:rFonts w:ascii="Candara" w:hAnsi="Candara" w:cs="Times New Roman"/>
              </w:rPr>
              <w:t xml:space="preserve"> </w:t>
            </w:r>
            <w:r w:rsidR="003B7C28">
              <w:rPr>
                <w:rFonts w:ascii="Candara" w:hAnsi="Candara" w:cs="Times New Roman"/>
              </w:rPr>
              <w:t>w</w:t>
            </w:r>
            <w:r w:rsidR="00923DCC">
              <w:rPr>
                <w:rFonts w:ascii="Candara" w:hAnsi="Candara" w:cs="Times New Roman"/>
              </w:rPr>
              <w:t>as</w:t>
            </w:r>
            <w:r w:rsidRPr="0016235B">
              <w:rPr>
                <w:rFonts w:ascii="Candara" w:hAnsi="Candara" w:cs="Times New Roman"/>
              </w:rPr>
              <w:t xml:space="preserve"> the most</w:t>
            </w:r>
            <w:r w:rsidR="003B7C28">
              <w:rPr>
                <w:rFonts w:ascii="Candara" w:hAnsi="Candara" w:cs="Times New Roman"/>
              </w:rPr>
              <w:t xml:space="preserve"> </w:t>
            </w:r>
            <w:r w:rsidR="00923DCC">
              <w:rPr>
                <w:rFonts w:ascii="Candara" w:hAnsi="Candara" w:cs="Times New Roman"/>
              </w:rPr>
              <w:t xml:space="preserve">available </w:t>
            </w:r>
            <w:r w:rsidR="003B7C28">
              <w:rPr>
                <w:rFonts w:ascii="Candara" w:hAnsi="Candara" w:cs="Times New Roman"/>
              </w:rPr>
              <w:t>family planning</w:t>
            </w:r>
            <w:r w:rsidR="00923DCC">
              <w:rPr>
                <w:rFonts w:ascii="Candara" w:hAnsi="Candara" w:cs="Times New Roman"/>
              </w:rPr>
              <w:t xml:space="preserve"> serv</w:t>
            </w:r>
            <w:r w:rsidRPr="0016235B">
              <w:rPr>
                <w:rFonts w:ascii="Candara" w:hAnsi="Candara" w:cs="Times New Roman"/>
              </w:rPr>
              <w:t>ice at 86%</w:t>
            </w:r>
          </w:p>
          <w:p w14:paraId="55BD9957" w14:textId="61E7BC9F" w:rsidR="00ED2E24" w:rsidRPr="0016235B" w:rsidRDefault="00ED2E24"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 xml:space="preserve">83% of the health facilities </w:t>
            </w:r>
            <w:r w:rsidR="00923DCC">
              <w:rPr>
                <w:rFonts w:ascii="Candara" w:hAnsi="Candara" w:cs="Times New Roman"/>
              </w:rPr>
              <w:t>we</w:t>
            </w:r>
            <w:r w:rsidRPr="0016235B">
              <w:rPr>
                <w:rFonts w:ascii="Candara" w:hAnsi="Candara" w:cs="Times New Roman"/>
              </w:rPr>
              <w:t>re offering family planning services</w:t>
            </w:r>
          </w:p>
          <w:p w14:paraId="65B0821C" w14:textId="77E9517F" w:rsidR="00ED2E24" w:rsidRPr="0016235B" w:rsidRDefault="00ED2E24"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All facilities assessed in Mid-North and Mid-West offered family planning services, nearly all in Mid-East (98%) and the lowest availability was observed in North-East</w:t>
            </w:r>
            <w:r w:rsidR="00923DCC">
              <w:rPr>
                <w:rFonts w:ascii="Candara" w:hAnsi="Candara" w:cs="Times New Roman"/>
              </w:rPr>
              <w:t xml:space="preserve"> at 61%</w:t>
            </w:r>
          </w:p>
          <w:p w14:paraId="1ED8A448" w14:textId="01E67774" w:rsidR="00ED2E24" w:rsidRPr="006F3232" w:rsidRDefault="00ED2E24" w:rsidP="000E1A5E">
            <w:pPr>
              <w:pStyle w:val="ListParagraph"/>
              <w:numPr>
                <w:ilvl w:val="0"/>
                <w:numId w:val="16"/>
              </w:numPr>
              <w:spacing w:after="120" w:line="264" w:lineRule="auto"/>
              <w:jc w:val="both"/>
              <w:rPr>
                <w:rFonts w:ascii="Candara" w:hAnsi="Candara" w:cs="Times New Roman"/>
              </w:rPr>
            </w:pPr>
            <w:r w:rsidRPr="006F3232">
              <w:rPr>
                <w:rFonts w:ascii="Candara" w:hAnsi="Candara" w:cs="Times New Roman"/>
              </w:rPr>
              <w:t xml:space="preserve">The most prescribed modern method of family planning for unmarried adolescent </w:t>
            </w:r>
            <w:r w:rsidR="00923DCC">
              <w:rPr>
                <w:rFonts w:ascii="Candara" w:hAnsi="Candara" w:cs="Times New Roman"/>
              </w:rPr>
              <w:t>wa</w:t>
            </w:r>
            <w:r w:rsidRPr="006F3232">
              <w:rPr>
                <w:rFonts w:ascii="Candara" w:hAnsi="Candara" w:cs="Times New Roman"/>
              </w:rPr>
              <w:t xml:space="preserve">s combined oral contraceptive pills (66%) and the least </w:t>
            </w:r>
            <w:r w:rsidR="00923DCC">
              <w:rPr>
                <w:rFonts w:ascii="Candara" w:hAnsi="Candara" w:cs="Times New Roman"/>
              </w:rPr>
              <w:t>was</w:t>
            </w:r>
            <w:r w:rsidRPr="006F3232">
              <w:rPr>
                <w:rFonts w:ascii="Candara" w:hAnsi="Candara" w:cs="Times New Roman"/>
              </w:rPr>
              <w:t xml:space="preserve"> IUCD at 33%</w:t>
            </w:r>
          </w:p>
          <w:p w14:paraId="78230FFB" w14:textId="77777777" w:rsidR="00ED2E24" w:rsidRPr="0016235B" w:rsidRDefault="00ED2E24" w:rsidP="00244BC6">
            <w:pPr>
              <w:pStyle w:val="ListParagraph"/>
              <w:jc w:val="both"/>
              <w:rPr>
                <w:rFonts w:ascii="Candara" w:hAnsi="Candara"/>
              </w:rPr>
            </w:pPr>
          </w:p>
        </w:tc>
      </w:tr>
    </w:tbl>
    <w:p w14:paraId="0F0EB385" w14:textId="77777777" w:rsidR="00672B04" w:rsidRPr="0016235B" w:rsidRDefault="00672B04" w:rsidP="00672B04">
      <w:pPr>
        <w:pStyle w:val="ListParagraph"/>
        <w:jc w:val="both"/>
        <w:rPr>
          <w:rFonts w:ascii="Candara" w:hAnsi="Candara"/>
          <w:b/>
        </w:rPr>
      </w:pPr>
    </w:p>
    <w:p w14:paraId="4209AF03" w14:textId="77777777" w:rsidR="00672B04" w:rsidRPr="0016235B" w:rsidRDefault="00672B04" w:rsidP="00672B04">
      <w:pPr>
        <w:jc w:val="both"/>
        <w:rPr>
          <w:rFonts w:ascii="Candara" w:hAnsi="Candara"/>
          <w:b/>
        </w:rPr>
      </w:pPr>
    </w:p>
    <w:p w14:paraId="088BDAB0" w14:textId="5C5B3D30" w:rsidR="00672B04" w:rsidRPr="0016235B" w:rsidRDefault="00C008AC" w:rsidP="005722F2">
      <w:pPr>
        <w:pStyle w:val="Heading2"/>
        <w:numPr>
          <w:ilvl w:val="1"/>
          <w:numId w:val="25"/>
        </w:numPr>
        <w:rPr>
          <w:rFonts w:ascii="Candara" w:hAnsi="Candara"/>
          <w:b/>
          <w:sz w:val="28"/>
          <w:szCs w:val="28"/>
        </w:rPr>
      </w:pPr>
      <w:bookmarkStart w:id="35" w:name="_Toc11494048"/>
      <w:r w:rsidRPr="0016235B">
        <w:rPr>
          <w:rFonts w:ascii="Candara" w:hAnsi="Candara"/>
          <w:b/>
          <w:sz w:val="28"/>
          <w:szCs w:val="28"/>
        </w:rPr>
        <w:lastRenderedPageBreak/>
        <w:t>Readiness for Family Planning Services</w:t>
      </w:r>
      <w:bookmarkEnd w:id="35"/>
    </w:p>
    <w:p w14:paraId="33474596" w14:textId="77777777" w:rsidR="00C008AC" w:rsidRPr="0016235B" w:rsidRDefault="00C008AC" w:rsidP="00672B04">
      <w:pPr>
        <w:rPr>
          <w:rFonts w:ascii="Candara" w:hAnsi="Candara" w:cs="Times New Roman"/>
        </w:rPr>
      </w:pPr>
    </w:p>
    <w:p w14:paraId="614B2065" w14:textId="0A23142F" w:rsidR="00672B04" w:rsidRPr="0016235B" w:rsidRDefault="00672B04" w:rsidP="00C008AC">
      <w:pPr>
        <w:jc w:val="both"/>
        <w:rPr>
          <w:rFonts w:ascii="Candara" w:eastAsia="MS Mincho" w:hAnsi="Candara"/>
          <w:sz w:val="24"/>
          <w:szCs w:val="24"/>
        </w:rPr>
      </w:pPr>
      <w:r w:rsidRPr="0016235B">
        <w:rPr>
          <w:rFonts w:ascii="Candara" w:eastAsia="MS Mincho" w:hAnsi="Candara"/>
          <w:sz w:val="24"/>
          <w:szCs w:val="24"/>
        </w:rPr>
        <w:t>Readiness of health facilit</w:t>
      </w:r>
      <w:r w:rsidR="00C008AC" w:rsidRPr="0016235B">
        <w:rPr>
          <w:rFonts w:ascii="Candara" w:eastAsia="MS Mincho" w:hAnsi="Candara"/>
          <w:sz w:val="24"/>
          <w:szCs w:val="24"/>
        </w:rPr>
        <w:t>ies</w:t>
      </w:r>
      <w:r w:rsidRPr="0016235B">
        <w:rPr>
          <w:rFonts w:ascii="Candara" w:eastAsia="MS Mincho" w:hAnsi="Candara"/>
          <w:sz w:val="24"/>
          <w:szCs w:val="24"/>
        </w:rPr>
        <w:t xml:space="preserve"> to provide family planning service was assessed based on the presence of </w:t>
      </w:r>
      <w:r w:rsidR="00C008AC" w:rsidRPr="0016235B">
        <w:rPr>
          <w:rFonts w:ascii="Candara" w:eastAsia="MS Mincho" w:hAnsi="Candara"/>
          <w:sz w:val="24"/>
          <w:szCs w:val="24"/>
        </w:rPr>
        <w:t xml:space="preserve">9 </w:t>
      </w:r>
      <w:r w:rsidRPr="0016235B">
        <w:rPr>
          <w:rFonts w:ascii="Candara" w:eastAsia="MS Mincho" w:hAnsi="Candara"/>
          <w:sz w:val="24"/>
          <w:szCs w:val="24"/>
        </w:rPr>
        <w:t xml:space="preserve">tracer items that </w:t>
      </w:r>
      <w:r w:rsidR="003840FF" w:rsidRPr="0016235B">
        <w:rPr>
          <w:rFonts w:ascii="Candara" w:eastAsia="MS Mincho" w:hAnsi="Candara"/>
          <w:sz w:val="24"/>
          <w:szCs w:val="24"/>
        </w:rPr>
        <w:t>were</w:t>
      </w:r>
      <w:r w:rsidRPr="0016235B">
        <w:rPr>
          <w:rFonts w:ascii="Candara" w:eastAsia="MS Mincho" w:hAnsi="Candara"/>
          <w:sz w:val="24"/>
          <w:szCs w:val="24"/>
        </w:rPr>
        <w:t xml:space="preserve"> particularly important</w:t>
      </w:r>
      <w:r w:rsidR="00C008AC" w:rsidRPr="0016235B">
        <w:rPr>
          <w:rFonts w:ascii="Candara" w:eastAsia="MS Mincho" w:hAnsi="Candara"/>
          <w:sz w:val="24"/>
          <w:szCs w:val="24"/>
        </w:rPr>
        <w:t>. These</w:t>
      </w:r>
      <w:r w:rsidRPr="0016235B">
        <w:rPr>
          <w:rFonts w:ascii="Candara" w:eastAsia="MS Mincho" w:hAnsi="Candara"/>
          <w:sz w:val="24"/>
          <w:szCs w:val="24"/>
        </w:rPr>
        <w:t xml:space="preserve"> were under the category of trained staff</w:t>
      </w:r>
      <w:r w:rsidR="00C008AC" w:rsidRPr="0016235B">
        <w:rPr>
          <w:rFonts w:ascii="Candara" w:eastAsia="MS Mincho" w:hAnsi="Candara"/>
          <w:sz w:val="24"/>
          <w:szCs w:val="24"/>
        </w:rPr>
        <w:t>,</w:t>
      </w:r>
      <w:r w:rsidRPr="0016235B">
        <w:rPr>
          <w:rFonts w:ascii="Candara" w:eastAsia="MS Mincho" w:hAnsi="Candara"/>
          <w:sz w:val="24"/>
          <w:szCs w:val="24"/>
        </w:rPr>
        <w:t xml:space="preserve"> guidelines, commodities and medicines. </w:t>
      </w:r>
    </w:p>
    <w:p w14:paraId="11FF5F8A" w14:textId="77777777" w:rsidR="00A73247" w:rsidRPr="0016235B" w:rsidRDefault="00A73247" w:rsidP="00C008AC">
      <w:pPr>
        <w:jc w:val="both"/>
        <w:rPr>
          <w:rFonts w:ascii="Candara" w:eastAsia="MS Mincho" w:hAnsi="Candara"/>
          <w:sz w:val="24"/>
          <w:szCs w:val="24"/>
        </w:rPr>
      </w:pPr>
    </w:p>
    <w:p w14:paraId="0D00FBB1" w14:textId="77777777" w:rsidR="00A73247" w:rsidRPr="0016235B" w:rsidRDefault="00A73247" w:rsidP="00C008AC">
      <w:pPr>
        <w:jc w:val="both"/>
        <w:rPr>
          <w:rFonts w:ascii="Candara" w:eastAsia="MS Mincho" w:hAnsi="Candara"/>
          <w:sz w:val="24"/>
          <w:szCs w:val="24"/>
        </w:rPr>
      </w:pPr>
    </w:p>
    <w:p w14:paraId="79C45E82" w14:textId="77777777" w:rsidR="00A73247" w:rsidRPr="0016235B" w:rsidRDefault="00A73247" w:rsidP="00C008AC">
      <w:pPr>
        <w:jc w:val="both"/>
        <w:rPr>
          <w:rFonts w:ascii="Candara" w:eastAsia="MS Mincho" w:hAnsi="Candara"/>
          <w:sz w:val="24"/>
          <w:szCs w:val="24"/>
        </w:rPr>
      </w:pPr>
    </w:p>
    <w:p w14:paraId="7D6A9DAE" w14:textId="77777777" w:rsidR="00A73247" w:rsidRPr="0016235B" w:rsidRDefault="00A73247" w:rsidP="00C008AC">
      <w:pPr>
        <w:jc w:val="both"/>
        <w:rPr>
          <w:rFonts w:ascii="Candara" w:eastAsia="MS Mincho" w:hAnsi="Candara"/>
          <w:sz w:val="24"/>
          <w:szCs w:val="24"/>
        </w:rPr>
      </w:pPr>
    </w:p>
    <w:p w14:paraId="7E30112C" w14:textId="77777777" w:rsidR="00A73247" w:rsidRPr="0016235B" w:rsidRDefault="00A73247" w:rsidP="00C008AC">
      <w:pPr>
        <w:jc w:val="both"/>
        <w:rPr>
          <w:rFonts w:ascii="Candara" w:eastAsia="MS Mincho" w:hAnsi="Candara"/>
          <w:sz w:val="24"/>
          <w:szCs w:val="24"/>
        </w:rPr>
      </w:pPr>
    </w:p>
    <w:p w14:paraId="150FB3A8" w14:textId="77777777" w:rsidR="00A73247" w:rsidRPr="0016235B" w:rsidRDefault="00A73247" w:rsidP="00C008AC">
      <w:pPr>
        <w:jc w:val="both"/>
        <w:rPr>
          <w:rFonts w:ascii="Candara" w:eastAsia="MS Mincho" w:hAnsi="Candara"/>
          <w:sz w:val="24"/>
          <w:szCs w:val="24"/>
        </w:rPr>
      </w:pPr>
    </w:p>
    <w:p w14:paraId="166BF273" w14:textId="77777777" w:rsidR="00A73247" w:rsidRPr="0016235B" w:rsidRDefault="00A73247" w:rsidP="00C008AC">
      <w:pPr>
        <w:jc w:val="both"/>
        <w:rPr>
          <w:rFonts w:ascii="Candara" w:eastAsia="MS Mincho" w:hAnsi="Candara"/>
          <w:sz w:val="24"/>
          <w:szCs w:val="24"/>
        </w:rPr>
      </w:pPr>
    </w:p>
    <w:p w14:paraId="4640E504" w14:textId="77777777" w:rsidR="00A73247" w:rsidRPr="0016235B" w:rsidRDefault="00A73247" w:rsidP="00C008AC">
      <w:pPr>
        <w:jc w:val="both"/>
        <w:rPr>
          <w:rFonts w:ascii="Candara" w:eastAsia="MS Mincho" w:hAnsi="Candara"/>
          <w:sz w:val="24"/>
          <w:szCs w:val="24"/>
        </w:rPr>
      </w:pPr>
    </w:p>
    <w:p w14:paraId="5C95536F" w14:textId="429EAFFB" w:rsidR="00672B04" w:rsidRPr="0016235B" w:rsidRDefault="00672B04" w:rsidP="00672B04">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 of facilities with tracer items for family planning services</w:t>
      </w:r>
    </w:p>
    <w:p w14:paraId="67AEA3C3" w14:textId="7E68236A" w:rsidR="00672B04" w:rsidRPr="0016235B" w:rsidRDefault="00A73247" w:rsidP="00672B04">
      <w:pPr>
        <w:jc w:val="both"/>
        <w:rPr>
          <w:rFonts w:ascii="Candara" w:hAnsi="Candara" w:cs="Times New Roman"/>
          <w:sz w:val="24"/>
          <w:szCs w:val="24"/>
        </w:rPr>
      </w:pPr>
      <w:r w:rsidRPr="0016235B">
        <w:rPr>
          <w:rFonts w:ascii="Candara" w:hAnsi="Candara"/>
          <w:noProof/>
        </w:rPr>
        <w:drawing>
          <wp:inline distT="0" distB="0" distL="0" distR="0" wp14:anchorId="7C238B3F" wp14:editId="3A70185A">
            <wp:extent cx="6010275" cy="3771900"/>
            <wp:effectExtent l="0" t="0" r="9525" b="0"/>
            <wp:docPr id="90" name="Chart 90">
              <a:extLst xmlns:a="http://schemas.openxmlformats.org/drawingml/2006/main">
                <a:ext uri="{FF2B5EF4-FFF2-40B4-BE49-F238E27FC236}">
                  <a16:creationId xmlns:a16="http://schemas.microsoft.com/office/drawing/2014/main" id="{7842AB8F-4BAD-45A4-88F5-845D4DFFB7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2F103C7" w14:textId="60F67143" w:rsidR="005D2E87" w:rsidRPr="0016235B" w:rsidRDefault="005D2E87">
      <w:pPr>
        <w:rPr>
          <w:rFonts w:ascii="Candara" w:eastAsia="Times New Roman" w:hAnsi="Candara" w:cs="Times New Roman"/>
          <w:bCs/>
          <w:sz w:val="24"/>
          <w:szCs w:val="24"/>
          <w:lang w:eastAsia="en-GB"/>
        </w:rPr>
      </w:pPr>
    </w:p>
    <w:p w14:paraId="2CF1F9FA" w14:textId="525BFBEE" w:rsidR="00672B04" w:rsidRPr="0016235B" w:rsidRDefault="00672B04" w:rsidP="00672B04">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Readiness for family planning services, by domain and key equity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w:t>
      </w:r>
      <w:r w:rsidR="00A73247" w:rsidRPr="0016235B">
        <w:rPr>
          <w:rFonts w:ascii="Candara" w:eastAsia="Times New Roman" w:hAnsi="Candara" w:cs="Times New Roman"/>
          <w:b/>
          <w:bCs/>
          <w:sz w:val="24"/>
          <w:szCs w:val="24"/>
          <w:lang w:eastAsia="en-GB"/>
        </w:rPr>
        <w:t>166</w:t>
      </w:r>
      <w:r w:rsidRPr="0016235B">
        <w:rPr>
          <w:rFonts w:ascii="Candara" w:eastAsia="Times New Roman" w:hAnsi="Candara" w:cs="Times New Roman"/>
          <w:b/>
          <w:bCs/>
          <w:sz w:val="24"/>
          <w:szCs w:val="24"/>
          <w:lang w:eastAsia="en-GB"/>
        </w:rPr>
        <w:t>)</w:t>
      </w:r>
    </w:p>
    <w:p w14:paraId="5A0FBD0B" w14:textId="77777777" w:rsidR="00672B04" w:rsidRPr="0016235B" w:rsidRDefault="00672B04" w:rsidP="00672B04">
      <w:pPr>
        <w:spacing w:after="0" w:line="240" w:lineRule="auto"/>
        <w:jc w:val="both"/>
        <w:rPr>
          <w:rFonts w:ascii="Candara" w:eastAsia="Times New Roman" w:hAnsi="Candara" w:cs="Times New Roman"/>
          <w:bCs/>
          <w:sz w:val="24"/>
          <w:szCs w:val="24"/>
          <w:lang w:eastAsia="en-GB"/>
        </w:rPr>
      </w:pPr>
      <w:r w:rsidRPr="0016235B">
        <w:rPr>
          <w:rFonts w:ascii="Candara" w:hAnsi="Candara"/>
          <w:noProof/>
        </w:rPr>
        <w:lastRenderedPageBreak/>
        <w:drawing>
          <wp:inline distT="0" distB="0" distL="0" distR="0" wp14:anchorId="55BBBDC9" wp14:editId="3831B152">
            <wp:extent cx="5876925" cy="3571875"/>
            <wp:effectExtent l="0" t="0" r="9525" b="9525"/>
            <wp:docPr id="25" name="Chart 25">
              <a:extLst xmlns:a="http://schemas.openxmlformats.org/drawingml/2006/main">
                <a:ext uri="{FF2B5EF4-FFF2-40B4-BE49-F238E27FC236}">
                  <a16:creationId xmlns:a16="http://schemas.microsoft.com/office/drawing/2014/main" id="{61D896D7-0415-486B-8961-8D580BF4CE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D99F223" w14:textId="77777777" w:rsidR="00672B04" w:rsidRPr="0016235B" w:rsidRDefault="00672B04" w:rsidP="00672B04">
      <w:pPr>
        <w:spacing w:after="0" w:line="240" w:lineRule="auto"/>
        <w:jc w:val="both"/>
        <w:rPr>
          <w:rFonts w:ascii="Candara" w:eastAsia="Times New Roman" w:hAnsi="Candara" w:cs="Times New Roman"/>
          <w:bCs/>
          <w:lang w:eastAsia="en-GB"/>
        </w:rPr>
      </w:pPr>
    </w:p>
    <w:p w14:paraId="1BC45BE1" w14:textId="77777777" w:rsidR="00A73247" w:rsidRPr="0016235B" w:rsidRDefault="00A73247" w:rsidP="00672B04">
      <w:pPr>
        <w:spacing w:after="0" w:line="240" w:lineRule="auto"/>
        <w:jc w:val="both"/>
        <w:rPr>
          <w:rFonts w:ascii="Candara" w:eastAsia="Times New Roman" w:hAnsi="Candara" w:cs="Times New Roman"/>
          <w:bCs/>
          <w:lang w:eastAsia="en-GB"/>
        </w:rPr>
      </w:pPr>
    </w:p>
    <w:p w14:paraId="57058B5F" w14:textId="77777777" w:rsidR="00A73247" w:rsidRPr="0016235B" w:rsidRDefault="00A73247" w:rsidP="00672B04">
      <w:pPr>
        <w:spacing w:after="0" w:line="240" w:lineRule="auto"/>
        <w:jc w:val="both"/>
        <w:rPr>
          <w:rFonts w:ascii="Candara" w:eastAsia="Times New Roman" w:hAnsi="Candara" w:cs="Times New Roman"/>
          <w:bCs/>
          <w:lang w:eastAsia="en-GB"/>
        </w:rPr>
      </w:pPr>
    </w:p>
    <w:p w14:paraId="0AC0A40A" w14:textId="77777777" w:rsidR="00A73247" w:rsidRPr="0016235B" w:rsidRDefault="00A73247" w:rsidP="00672B04">
      <w:pPr>
        <w:spacing w:after="0" w:line="240" w:lineRule="auto"/>
        <w:jc w:val="both"/>
        <w:rPr>
          <w:rFonts w:ascii="Candara" w:eastAsia="Times New Roman" w:hAnsi="Candara" w:cs="Times New Roman"/>
          <w:bCs/>
          <w:lang w:eastAsia="en-GB"/>
        </w:rPr>
      </w:pPr>
    </w:p>
    <w:p w14:paraId="1B61D606" w14:textId="77777777" w:rsidR="00A73247" w:rsidRPr="0016235B" w:rsidRDefault="00A73247" w:rsidP="00672B04">
      <w:pPr>
        <w:spacing w:after="0" w:line="240" w:lineRule="auto"/>
        <w:jc w:val="both"/>
        <w:rPr>
          <w:rFonts w:ascii="Candara" w:eastAsia="Times New Roman" w:hAnsi="Candara" w:cs="Times New Roman"/>
          <w:bCs/>
          <w:lang w:eastAsia="en-GB"/>
        </w:rPr>
      </w:pPr>
    </w:p>
    <w:p w14:paraId="135C551C" w14:textId="77777777" w:rsidR="00A73247" w:rsidRPr="0016235B" w:rsidRDefault="00A73247" w:rsidP="00672B04">
      <w:pPr>
        <w:spacing w:after="0" w:line="240" w:lineRule="auto"/>
        <w:jc w:val="both"/>
        <w:rPr>
          <w:rFonts w:ascii="Candara" w:eastAsia="Times New Roman" w:hAnsi="Candara" w:cs="Times New Roman"/>
          <w:bCs/>
          <w:lang w:eastAsia="en-GB"/>
        </w:rPr>
      </w:pPr>
    </w:p>
    <w:p w14:paraId="5839DE19" w14:textId="77777777" w:rsidR="00A73247" w:rsidRPr="0016235B" w:rsidRDefault="00A73247" w:rsidP="00672B04">
      <w:pPr>
        <w:spacing w:after="0" w:line="240" w:lineRule="auto"/>
        <w:jc w:val="both"/>
        <w:rPr>
          <w:rFonts w:ascii="Candara" w:eastAsia="Times New Roman" w:hAnsi="Candara" w:cs="Times New Roman"/>
          <w:bCs/>
          <w:lang w:eastAsia="en-GB"/>
        </w:rPr>
      </w:pPr>
    </w:p>
    <w:p w14:paraId="48B7BDE1" w14:textId="5EBA23A3" w:rsidR="00672B04" w:rsidRPr="0016235B" w:rsidRDefault="00672B04" w:rsidP="00672B04">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 of facilities that reported stock out of reproductive health products in the three months preceding the survey</w:t>
      </w:r>
      <w:r w:rsidR="000F42E3" w:rsidRPr="0016235B">
        <w:rPr>
          <w:rFonts w:ascii="Candara" w:eastAsia="Times New Roman" w:hAnsi="Candara" w:cs="Times New Roman"/>
          <w:b/>
          <w:bCs/>
          <w:sz w:val="24"/>
          <w:szCs w:val="24"/>
          <w:lang w:eastAsia="en-GB"/>
        </w:rPr>
        <w:t>, among those that stocked these products</w:t>
      </w:r>
    </w:p>
    <w:p w14:paraId="4BFC2D51" w14:textId="2AA1DBF5" w:rsidR="00672B04" w:rsidRPr="0016235B" w:rsidRDefault="000F42E3" w:rsidP="00672B04">
      <w:pPr>
        <w:jc w:val="both"/>
        <w:rPr>
          <w:rFonts w:ascii="Candara" w:hAnsi="Candara" w:cs="Times New Roman"/>
        </w:rPr>
      </w:pPr>
      <w:r w:rsidRPr="0016235B">
        <w:rPr>
          <w:rFonts w:ascii="Candara" w:hAnsi="Candara"/>
          <w:noProof/>
        </w:rPr>
        <w:drawing>
          <wp:inline distT="0" distB="0" distL="0" distR="0" wp14:anchorId="1E800D1D" wp14:editId="57C3BDFC">
            <wp:extent cx="5105400" cy="2809875"/>
            <wp:effectExtent l="0" t="0" r="0" b="9525"/>
            <wp:docPr id="122" name="Chart 122">
              <a:extLst xmlns:a="http://schemas.openxmlformats.org/drawingml/2006/main">
                <a:ext uri="{FF2B5EF4-FFF2-40B4-BE49-F238E27FC236}">
                  <a16:creationId xmlns:a16="http://schemas.microsoft.com/office/drawing/2014/main" id="{E6E01BC6-773A-40E0-B224-F9E0757631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71D3B47" w14:textId="77777777" w:rsidR="000627A1" w:rsidRPr="0016235B" w:rsidRDefault="000627A1" w:rsidP="00672B04">
      <w:pPr>
        <w:jc w:val="both"/>
        <w:rPr>
          <w:rFonts w:ascii="Candara" w:hAnsi="Candara" w:cs="Times New Roman"/>
        </w:rPr>
      </w:pPr>
    </w:p>
    <w:tbl>
      <w:tblPr>
        <w:tblStyle w:val="TableGrid"/>
        <w:tblW w:w="9535" w:type="dxa"/>
        <w:tblLook w:val="04A0" w:firstRow="1" w:lastRow="0" w:firstColumn="1" w:lastColumn="0" w:noHBand="0" w:noVBand="1"/>
      </w:tblPr>
      <w:tblGrid>
        <w:gridCol w:w="9535"/>
      </w:tblGrid>
      <w:tr w:rsidR="000627A1" w:rsidRPr="0016235B" w14:paraId="44DC9810" w14:textId="77777777" w:rsidTr="00244BC6">
        <w:trPr>
          <w:trHeight w:val="262"/>
        </w:trPr>
        <w:tc>
          <w:tcPr>
            <w:tcW w:w="9535" w:type="dxa"/>
          </w:tcPr>
          <w:p w14:paraId="0B75E4F1" w14:textId="77777777" w:rsidR="000627A1" w:rsidRPr="0016235B" w:rsidRDefault="000627A1" w:rsidP="00244BC6">
            <w:pPr>
              <w:rPr>
                <w:rFonts w:ascii="Candara" w:hAnsi="Candara"/>
                <w:b/>
              </w:rPr>
            </w:pPr>
            <w:r w:rsidRPr="0016235B">
              <w:rPr>
                <w:rFonts w:ascii="Candara" w:hAnsi="Candara"/>
                <w:b/>
              </w:rPr>
              <w:t>Key findings</w:t>
            </w:r>
          </w:p>
        </w:tc>
      </w:tr>
      <w:tr w:rsidR="000627A1" w:rsidRPr="0016235B" w14:paraId="11E130E3" w14:textId="77777777" w:rsidTr="00244BC6">
        <w:trPr>
          <w:trHeight w:val="2222"/>
        </w:trPr>
        <w:tc>
          <w:tcPr>
            <w:tcW w:w="9535" w:type="dxa"/>
          </w:tcPr>
          <w:p w14:paraId="5DC28596" w14:textId="6881484A" w:rsidR="000627A1" w:rsidRPr="0016235B" w:rsidRDefault="000627A1"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lastRenderedPageBreak/>
              <w:t xml:space="preserve">Although all the facilities </w:t>
            </w:r>
            <w:r w:rsidR="005E726C">
              <w:rPr>
                <w:rFonts w:ascii="Candara" w:hAnsi="Candara" w:cs="Times New Roman"/>
              </w:rPr>
              <w:t>we</w:t>
            </w:r>
            <w:r w:rsidRPr="0016235B">
              <w:rPr>
                <w:rFonts w:ascii="Candara" w:hAnsi="Candara" w:cs="Times New Roman"/>
              </w:rPr>
              <w:t>re expected to be ready to provide family planning services, only 4% of the facilities had all the 13 tracer items for readiness</w:t>
            </w:r>
          </w:p>
          <w:p w14:paraId="0A8BBB4A" w14:textId="77777777" w:rsidR="000627A1" w:rsidRPr="0016235B" w:rsidRDefault="000627A1"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On average, facilities had 6 of the 13 tracer items (47%)</w:t>
            </w:r>
          </w:p>
          <w:p w14:paraId="2D9CB9A9" w14:textId="189E9FFD" w:rsidR="000627A1" w:rsidRPr="0016235B" w:rsidRDefault="000627A1"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 xml:space="preserve">The highest family planning method available </w:t>
            </w:r>
            <w:r w:rsidR="005E726C">
              <w:rPr>
                <w:rFonts w:ascii="Candara" w:hAnsi="Candara" w:cs="Times New Roman"/>
              </w:rPr>
              <w:t>wa</w:t>
            </w:r>
            <w:r w:rsidRPr="0016235B">
              <w:rPr>
                <w:rFonts w:ascii="Candara" w:hAnsi="Candara" w:cs="Times New Roman"/>
              </w:rPr>
              <w:t>s Male condoms (82%) and female condoms being the least at (30%)</w:t>
            </w:r>
          </w:p>
          <w:p w14:paraId="708B4F93" w14:textId="042D44C9" w:rsidR="000627A1" w:rsidRPr="0016235B" w:rsidRDefault="000627A1"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Low availability of family planning guidelines which stands at 55</w:t>
            </w:r>
            <w:r w:rsidR="003840FF" w:rsidRPr="0016235B">
              <w:rPr>
                <w:rFonts w:ascii="Candara" w:hAnsi="Candara" w:cs="Times New Roman"/>
              </w:rPr>
              <w:t xml:space="preserve">% </w:t>
            </w:r>
            <w:r w:rsidR="005E726C">
              <w:rPr>
                <w:rFonts w:ascii="Candara" w:hAnsi="Candara" w:cs="Times New Roman"/>
              </w:rPr>
              <w:t>wa</w:t>
            </w:r>
            <w:r w:rsidR="003840FF" w:rsidRPr="0016235B">
              <w:rPr>
                <w:rFonts w:ascii="Candara" w:hAnsi="Candara" w:cs="Times New Roman"/>
              </w:rPr>
              <w:t>s</w:t>
            </w:r>
            <w:r w:rsidRPr="0016235B">
              <w:rPr>
                <w:rFonts w:ascii="Candara" w:hAnsi="Candara" w:cs="Times New Roman"/>
              </w:rPr>
              <w:t xml:space="preserve"> counter balanced by a relatively higher availability of family planning checklist at 64%</w:t>
            </w:r>
          </w:p>
          <w:p w14:paraId="2B78A9AC" w14:textId="77777777" w:rsidR="000627A1" w:rsidRPr="0016235B" w:rsidRDefault="000627A1"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 xml:space="preserve">Availability of at least one trained staff on family planning was observed in 41% of facilities </w:t>
            </w:r>
          </w:p>
          <w:p w14:paraId="4F11FB48" w14:textId="77777777" w:rsidR="000627A1" w:rsidRPr="0016235B" w:rsidRDefault="000627A1" w:rsidP="005722F2">
            <w:pPr>
              <w:pStyle w:val="ListParagraph"/>
              <w:numPr>
                <w:ilvl w:val="0"/>
                <w:numId w:val="16"/>
              </w:numPr>
              <w:spacing w:after="120" w:line="264" w:lineRule="auto"/>
              <w:jc w:val="both"/>
              <w:rPr>
                <w:rFonts w:ascii="Candara" w:hAnsi="Candara" w:cs="Times New Roman"/>
              </w:rPr>
            </w:pPr>
            <w:r w:rsidRPr="0016235B">
              <w:rPr>
                <w:rFonts w:ascii="Candara" w:hAnsi="Candara" w:cs="Times New Roman"/>
              </w:rPr>
              <w:t>For readiness by regions, trained staff and guidelines were highest in Mid-West (72%), North-East and Karamoja (each 67%), and least available in Kampala (37%)</w:t>
            </w:r>
          </w:p>
          <w:p w14:paraId="03273321" w14:textId="364FC465" w:rsidR="000627A1" w:rsidRPr="0016235B" w:rsidRDefault="003840FF" w:rsidP="006F3232">
            <w:pPr>
              <w:pStyle w:val="ListParagraph"/>
              <w:numPr>
                <w:ilvl w:val="0"/>
                <w:numId w:val="16"/>
              </w:numPr>
              <w:spacing w:after="120" w:line="264" w:lineRule="auto"/>
              <w:jc w:val="both"/>
              <w:rPr>
                <w:rFonts w:ascii="Candara" w:hAnsi="Candara"/>
              </w:rPr>
            </w:pPr>
            <w:r w:rsidRPr="006F3232">
              <w:rPr>
                <w:rFonts w:ascii="Candara" w:hAnsi="Candara" w:cs="Times New Roman"/>
              </w:rPr>
              <w:t>Generally,</w:t>
            </w:r>
            <w:r w:rsidR="000627A1" w:rsidRPr="006F3232">
              <w:rPr>
                <w:rFonts w:ascii="Candara" w:hAnsi="Candara" w:cs="Times New Roman"/>
              </w:rPr>
              <w:t xml:space="preserve"> there </w:t>
            </w:r>
            <w:r w:rsidR="005E726C">
              <w:rPr>
                <w:rFonts w:ascii="Candara" w:hAnsi="Candara" w:cs="Times New Roman"/>
              </w:rPr>
              <w:t>wa</w:t>
            </w:r>
            <w:r w:rsidR="000627A1" w:rsidRPr="006F3232">
              <w:rPr>
                <w:rFonts w:ascii="Candara" w:hAnsi="Candara" w:cs="Times New Roman"/>
              </w:rPr>
              <w:t>s a high stock out of reproductive health commodities and medicines in health facilities that stocked these commodities – 81% for Female condoms and Emergency contraceptive pills, 68% for Implants</w:t>
            </w:r>
          </w:p>
        </w:tc>
      </w:tr>
    </w:tbl>
    <w:p w14:paraId="3A9C4E39" w14:textId="64D1817D" w:rsidR="000F42E3" w:rsidRDefault="000F42E3" w:rsidP="00672B04">
      <w:pPr>
        <w:pStyle w:val="ListParagraph"/>
        <w:jc w:val="both"/>
        <w:rPr>
          <w:rFonts w:ascii="Candara" w:hAnsi="Candara" w:cs="Times New Roman"/>
        </w:rPr>
      </w:pPr>
    </w:p>
    <w:p w14:paraId="546191A5" w14:textId="77777777" w:rsidR="006F3232" w:rsidRPr="0016235B" w:rsidRDefault="006F3232" w:rsidP="00672B04">
      <w:pPr>
        <w:pStyle w:val="ListParagraph"/>
        <w:jc w:val="both"/>
        <w:rPr>
          <w:rFonts w:ascii="Candara" w:hAnsi="Candara" w:cs="Times New Roman"/>
        </w:rPr>
      </w:pPr>
    </w:p>
    <w:p w14:paraId="231203B5" w14:textId="50E71100" w:rsidR="00F35FC7" w:rsidRPr="0016235B" w:rsidRDefault="00F35FC7" w:rsidP="005722F2">
      <w:pPr>
        <w:pStyle w:val="Heading2"/>
        <w:numPr>
          <w:ilvl w:val="1"/>
          <w:numId w:val="25"/>
        </w:numPr>
        <w:rPr>
          <w:rFonts w:ascii="Candara" w:hAnsi="Candara"/>
          <w:b/>
          <w:sz w:val="28"/>
          <w:szCs w:val="28"/>
        </w:rPr>
      </w:pPr>
      <w:bookmarkStart w:id="36" w:name="_Toc11494049"/>
      <w:r w:rsidRPr="0016235B">
        <w:rPr>
          <w:rFonts w:ascii="Candara" w:hAnsi="Candara"/>
          <w:b/>
          <w:sz w:val="28"/>
          <w:szCs w:val="28"/>
        </w:rPr>
        <w:t>N</w:t>
      </w:r>
      <w:r w:rsidR="008A2BB7" w:rsidRPr="0016235B">
        <w:rPr>
          <w:rFonts w:ascii="Candara" w:hAnsi="Candara"/>
          <w:b/>
          <w:sz w:val="28"/>
          <w:szCs w:val="28"/>
        </w:rPr>
        <w:t>on</w:t>
      </w:r>
      <w:r w:rsidRPr="0016235B">
        <w:rPr>
          <w:rFonts w:ascii="Candara" w:hAnsi="Candara"/>
          <w:b/>
          <w:sz w:val="28"/>
          <w:szCs w:val="28"/>
        </w:rPr>
        <w:t>-C</w:t>
      </w:r>
      <w:r w:rsidR="008A2BB7" w:rsidRPr="0016235B">
        <w:rPr>
          <w:rFonts w:ascii="Candara" w:hAnsi="Candara"/>
          <w:b/>
          <w:sz w:val="28"/>
          <w:szCs w:val="28"/>
        </w:rPr>
        <w:t>ommunicable</w:t>
      </w:r>
      <w:r w:rsidRPr="0016235B">
        <w:rPr>
          <w:rFonts w:ascii="Candara" w:hAnsi="Candara"/>
          <w:b/>
          <w:sz w:val="28"/>
          <w:szCs w:val="28"/>
        </w:rPr>
        <w:t xml:space="preserve"> D</w:t>
      </w:r>
      <w:r w:rsidR="008A2BB7" w:rsidRPr="0016235B">
        <w:rPr>
          <w:rFonts w:ascii="Candara" w:hAnsi="Candara"/>
          <w:b/>
          <w:sz w:val="28"/>
          <w:szCs w:val="28"/>
        </w:rPr>
        <w:t>iseases</w:t>
      </w:r>
      <w:bookmarkEnd w:id="36"/>
      <w:r w:rsidRPr="0016235B">
        <w:rPr>
          <w:rFonts w:ascii="Candara" w:hAnsi="Candara"/>
          <w:b/>
          <w:sz w:val="28"/>
          <w:szCs w:val="28"/>
        </w:rPr>
        <w:t xml:space="preserve"> </w:t>
      </w:r>
    </w:p>
    <w:p w14:paraId="712D2495" w14:textId="77777777" w:rsidR="00144290" w:rsidRPr="0016235B" w:rsidRDefault="00144290" w:rsidP="00F35FC7">
      <w:pPr>
        <w:rPr>
          <w:rFonts w:ascii="Candara" w:hAnsi="Candara" w:cs="Times New Roman"/>
        </w:rPr>
      </w:pPr>
    </w:p>
    <w:p w14:paraId="5E2618BC" w14:textId="2A791CA4" w:rsidR="00144290" w:rsidRPr="0016235B" w:rsidRDefault="00F35FC7" w:rsidP="001A5FD7">
      <w:pPr>
        <w:jc w:val="both"/>
        <w:rPr>
          <w:rFonts w:ascii="Candara" w:hAnsi="Candara" w:cs="Times New Roman"/>
        </w:rPr>
      </w:pPr>
      <w:r w:rsidRPr="0016235B">
        <w:rPr>
          <w:rFonts w:ascii="Candara" w:eastAsia="MS Mincho" w:hAnsi="Candara"/>
          <w:sz w:val="24"/>
          <w:szCs w:val="24"/>
        </w:rPr>
        <w:t>The four main types of non-communicable disease</w:t>
      </w:r>
      <w:r w:rsidR="00144290" w:rsidRPr="0016235B">
        <w:rPr>
          <w:rFonts w:ascii="Candara" w:eastAsia="MS Mincho" w:hAnsi="Candara"/>
          <w:sz w:val="24"/>
          <w:szCs w:val="24"/>
        </w:rPr>
        <w:t xml:space="preserve">s assessed </w:t>
      </w:r>
      <w:r w:rsidRPr="0016235B">
        <w:rPr>
          <w:rFonts w:ascii="Candara" w:eastAsia="MS Mincho" w:hAnsi="Candara"/>
          <w:sz w:val="24"/>
          <w:szCs w:val="24"/>
        </w:rPr>
        <w:t>are; Cardiovascular disease, Chronic respiratory disease, Diabetes and Cervical cancer.</w:t>
      </w:r>
    </w:p>
    <w:p w14:paraId="768FD0CA" w14:textId="77777777" w:rsidR="00144290" w:rsidRPr="0016235B" w:rsidRDefault="00144290" w:rsidP="00F35FC7">
      <w:pPr>
        <w:rPr>
          <w:rFonts w:ascii="Candara" w:hAnsi="Candara" w:cs="Times New Roman"/>
        </w:rPr>
      </w:pPr>
    </w:p>
    <w:p w14:paraId="7509A1CB" w14:textId="515FF5B5" w:rsidR="00F35FC7" w:rsidRPr="0016235B" w:rsidRDefault="00F35FC7" w:rsidP="00F35FC7">
      <w:pPr>
        <w:rPr>
          <w:rFonts w:ascii="Candara" w:hAnsi="Candara" w:cs="Times New Roman"/>
          <w:b/>
          <w:sz w:val="24"/>
          <w:szCs w:val="24"/>
        </w:rPr>
      </w:pPr>
      <w:r w:rsidRPr="0016235B">
        <w:rPr>
          <w:rFonts w:ascii="Candara" w:hAnsi="Candara" w:cs="Times New Roman"/>
          <w:b/>
          <w:sz w:val="24"/>
          <w:szCs w:val="24"/>
        </w:rPr>
        <w:t>Percent of facilities offering diagnosis or management of non-communicable diseases</w:t>
      </w:r>
      <w:r w:rsidR="00144290" w:rsidRPr="0016235B">
        <w:rPr>
          <w:rFonts w:ascii="Candara" w:hAnsi="Candara" w:cs="Times New Roman"/>
          <w:b/>
          <w:sz w:val="24"/>
          <w:szCs w:val="24"/>
        </w:rPr>
        <w:t xml:space="preserve"> </w:t>
      </w:r>
    </w:p>
    <w:p w14:paraId="77D4B84D" w14:textId="4A90AA39" w:rsidR="00F35FC7" w:rsidRPr="0016235B" w:rsidRDefault="00144290" w:rsidP="00F35FC7">
      <w:pPr>
        <w:spacing w:after="0" w:line="240" w:lineRule="auto"/>
        <w:jc w:val="both"/>
        <w:rPr>
          <w:rFonts w:ascii="Candara" w:eastAsia="Times New Roman" w:hAnsi="Candara" w:cs="Times New Roman"/>
          <w:bCs/>
          <w:lang w:eastAsia="en-GB"/>
        </w:rPr>
      </w:pPr>
      <w:r w:rsidRPr="0016235B">
        <w:rPr>
          <w:rFonts w:ascii="Candara" w:hAnsi="Candara"/>
          <w:noProof/>
        </w:rPr>
        <w:drawing>
          <wp:inline distT="0" distB="0" distL="0" distR="0" wp14:anchorId="2ADF2367" wp14:editId="0BAD166F">
            <wp:extent cx="5731510" cy="2838450"/>
            <wp:effectExtent l="0" t="0" r="2540" b="0"/>
            <wp:docPr id="129" name="Chart 1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36AF5CC8" w14:textId="77777777" w:rsidR="00F35FC7" w:rsidRPr="0016235B" w:rsidRDefault="00F35FC7" w:rsidP="00F35FC7">
      <w:pPr>
        <w:spacing w:after="0" w:line="240" w:lineRule="auto"/>
        <w:jc w:val="both"/>
        <w:rPr>
          <w:rFonts w:ascii="Candara" w:eastAsia="Times New Roman" w:hAnsi="Candara" w:cs="Times New Roman"/>
          <w:bCs/>
          <w:lang w:eastAsia="en-GB"/>
        </w:rPr>
      </w:pPr>
    </w:p>
    <w:p w14:paraId="00873369" w14:textId="77777777" w:rsidR="00F35FC7" w:rsidRPr="0016235B" w:rsidRDefault="00F35FC7" w:rsidP="00F35FC7">
      <w:pPr>
        <w:spacing w:after="0" w:line="240" w:lineRule="auto"/>
        <w:jc w:val="both"/>
        <w:rPr>
          <w:rFonts w:ascii="Candara" w:eastAsia="Times New Roman" w:hAnsi="Candara" w:cs="Times New Roman"/>
          <w:bCs/>
          <w:lang w:eastAsia="en-GB"/>
        </w:rPr>
      </w:pPr>
    </w:p>
    <w:p w14:paraId="5DCBF2F3" w14:textId="6E47B15B" w:rsidR="00F35FC7" w:rsidRPr="0016235B" w:rsidRDefault="00F35FC7" w:rsidP="00F35FC7">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 of facilities offering NCD services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(N=16</w:t>
      </w:r>
      <w:r w:rsidR="00144290"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743429C5" w14:textId="1F7C3D13" w:rsidR="00F35FC7" w:rsidRPr="0016235B" w:rsidRDefault="00F35FC7" w:rsidP="00F35FC7">
      <w:pPr>
        <w:jc w:val="both"/>
        <w:rPr>
          <w:rFonts w:ascii="Candara" w:hAnsi="Candara" w:cs="Times New Roman"/>
        </w:rPr>
      </w:pPr>
      <w:r w:rsidRPr="0016235B">
        <w:rPr>
          <w:rFonts w:ascii="Candara" w:hAnsi="Candara" w:cs="Times New Roman"/>
          <w:noProof/>
        </w:rPr>
        <w:lastRenderedPageBreak/>
        <w:drawing>
          <wp:inline distT="0" distB="0" distL="0" distR="0" wp14:anchorId="50753646" wp14:editId="32EA525E">
            <wp:extent cx="5848350" cy="3581400"/>
            <wp:effectExtent l="19050" t="19050" r="19050" b="1905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848350" cy="3581400"/>
                    </a:xfrm>
                    <a:prstGeom prst="rect">
                      <a:avLst/>
                    </a:prstGeom>
                    <a:ln w="12700">
                      <a:solidFill>
                        <a:srgbClr val="0070C0"/>
                      </a:solidFill>
                    </a:ln>
                  </pic:spPr>
                </pic:pic>
              </a:graphicData>
            </a:graphic>
          </wp:inline>
        </w:drawing>
      </w:r>
    </w:p>
    <w:tbl>
      <w:tblPr>
        <w:tblStyle w:val="TableGrid"/>
        <w:tblW w:w="9535" w:type="dxa"/>
        <w:tblLook w:val="04A0" w:firstRow="1" w:lastRow="0" w:firstColumn="1" w:lastColumn="0" w:noHBand="0" w:noVBand="1"/>
      </w:tblPr>
      <w:tblGrid>
        <w:gridCol w:w="9535"/>
      </w:tblGrid>
      <w:tr w:rsidR="000627A1" w:rsidRPr="0016235B" w14:paraId="07BE9AC5" w14:textId="77777777" w:rsidTr="00244BC6">
        <w:trPr>
          <w:trHeight w:val="262"/>
        </w:trPr>
        <w:tc>
          <w:tcPr>
            <w:tcW w:w="9535" w:type="dxa"/>
          </w:tcPr>
          <w:p w14:paraId="63AD3B08" w14:textId="77777777" w:rsidR="000627A1" w:rsidRPr="0016235B" w:rsidRDefault="000627A1" w:rsidP="00244BC6">
            <w:pPr>
              <w:rPr>
                <w:rFonts w:ascii="Candara" w:hAnsi="Candara"/>
                <w:b/>
              </w:rPr>
            </w:pPr>
            <w:r w:rsidRPr="0016235B">
              <w:rPr>
                <w:rFonts w:ascii="Candara" w:hAnsi="Candara"/>
                <w:b/>
              </w:rPr>
              <w:t>Key findings</w:t>
            </w:r>
          </w:p>
        </w:tc>
      </w:tr>
      <w:tr w:rsidR="000627A1" w:rsidRPr="0016235B" w14:paraId="1F240E96" w14:textId="77777777" w:rsidTr="00244BC6">
        <w:trPr>
          <w:trHeight w:val="2222"/>
        </w:trPr>
        <w:tc>
          <w:tcPr>
            <w:tcW w:w="9535" w:type="dxa"/>
          </w:tcPr>
          <w:p w14:paraId="36442A85" w14:textId="2A36AB9C" w:rsidR="000627A1" w:rsidRPr="0016235B" w:rsidRDefault="000627A1" w:rsidP="005722F2">
            <w:pPr>
              <w:pStyle w:val="ListParagraph"/>
              <w:numPr>
                <w:ilvl w:val="0"/>
                <w:numId w:val="18"/>
              </w:numPr>
              <w:spacing w:after="120" w:line="264" w:lineRule="auto"/>
              <w:jc w:val="both"/>
              <w:rPr>
                <w:rFonts w:ascii="Candara" w:hAnsi="Candara" w:cs="Times New Roman"/>
              </w:rPr>
            </w:pPr>
            <w:r w:rsidRPr="0016235B">
              <w:rPr>
                <w:rFonts w:ascii="Candara" w:hAnsi="Candara" w:cs="Times New Roman"/>
              </w:rPr>
              <w:t>54% of the facilities offer</w:t>
            </w:r>
            <w:r w:rsidR="001A5FD7">
              <w:rPr>
                <w:rFonts w:ascii="Candara" w:hAnsi="Candara" w:cs="Times New Roman"/>
              </w:rPr>
              <w:t>ed</w:t>
            </w:r>
            <w:r w:rsidRPr="0016235B">
              <w:rPr>
                <w:rFonts w:ascii="Candara" w:hAnsi="Candara" w:cs="Times New Roman"/>
              </w:rPr>
              <w:t xml:space="preserve"> NCD services</w:t>
            </w:r>
          </w:p>
          <w:p w14:paraId="701FF792" w14:textId="2CD9E58E" w:rsidR="000627A1" w:rsidRPr="0016235B" w:rsidRDefault="000627A1" w:rsidP="005722F2">
            <w:pPr>
              <w:pStyle w:val="ListParagraph"/>
              <w:numPr>
                <w:ilvl w:val="0"/>
                <w:numId w:val="18"/>
              </w:numPr>
              <w:spacing w:after="120" w:line="264" w:lineRule="auto"/>
              <w:jc w:val="both"/>
              <w:rPr>
                <w:rFonts w:ascii="Candara" w:hAnsi="Candara" w:cs="Times New Roman"/>
              </w:rPr>
            </w:pPr>
            <w:r w:rsidRPr="0016235B">
              <w:rPr>
                <w:rFonts w:ascii="Candara" w:hAnsi="Candara" w:cs="Times New Roman"/>
              </w:rPr>
              <w:t xml:space="preserve">Of the NCD services offered at these facilities, Diagnosis/management of </w:t>
            </w:r>
            <w:r w:rsidR="003840FF" w:rsidRPr="0016235B">
              <w:rPr>
                <w:rFonts w:ascii="Candara" w:hAnsi="Candara" w:cs="Times New Roman"/>
              </w:rPr>
              <w:t>Cardiovascular</w:t>
            </w:r>
            <w:r w:rsidRPr="0016235B">
              <w:rPr>
                <w:rFonts w:ascii="Candara" w:hAnsi="Candara" w:cs="Times New Roman"/>
              </w:rPr>
              <w:t xml:space="preserve"> Disease was most prevalent (85%) and Cervical cancer diagnosis or management was the least, provided </w:t>
            </w:r>
            <w:r w:rsidR="003840FF" w:rsidRPr="0016235B">
              <w:rPr>
                <w:rFonts w:ascii="Candara" w:hAnsi="Candara" w:cs="Times New Roman"/>
              </w:rPr>
              <w:t>in 31</w:t>
            </w:r>
            <w:r w:rsidRPr="0016235B">
              <w:rPr>
                <w:rFonts w:ascii="Candara" w:hAnsi="Candara" w:cs="Times New Roman"/>
              </w:rPr>
              <w:t>% of facilities</w:t>
            </w:r>
          </w:p>
          <w:p w14:paraId="15699247" w14:textId="07880BDE" w:rsidR="000627A1" w:rsidRPr="0016235B" w:rsidRDefault="000627A1" w:rsidP="005722F2">
            <w:pPr>
              <w:pStyle w:val="ListParagraph"/>
              <w:numPr>
                <w:ilvl w:val="0"/>
                <w:numId w:val="18"/>
              </w:numPr>
              <w:spacing w:after="120" w:line="264" w:lineRule="auto"/>
              <w:jc w:val="both"/>
              <w:rPr>
                <w:rFonts w:ascii="Candara" w:hAnsi="Candara" w:cs="Times New Roman"/>
              </w:rPr>
            </w:pPr>
            <w:r w:rsidRPr="0016235B">
              <w:rPr>
                <w:rFonts w:ascii="Candara" w:hAnsi="Candara" w:cs="Times New Roman"/>
              </w:rPr>
              <w:t>All regional hospitals offer</w:t>
            </w:r>
            <w:r w:rsidR="00917C17">
              <w:rPr>
                <w:rFonts w:ascii="Candara" w:hAnsi="Candara" w:cs="Times New Roman"/>
              </w:rPr>
              <w:t>ed</w:t>
            </w:r>
            <w:r w:rsidRPr="0016235B">
              <w:rPr>
                <w:rFonts w:ascii="Candara" w:hAnsi="Candara" w:cs="Times New Roman"/>
              </w:rPr>
              <w:t xml:space="preserve"> NCD services</w:t>
            </w:r>
          </w:p>
          <w:p w14:paraId="0E1D798D" w14:textId="1ECB033E" w:rsidR="000627A1" w:rsidRPr="0016235B" w:rsidRDefault="000627A1" w:rsidP="005722F2">
            <w:pPr>
              <w:pStyle w:val="ListParagraph"/>
              <w:numPr>
                <w:ilvl w:val="0"/>
                <w:numId w:val="18"/>
              </w:numPr>
              <w:spacing w:after="120" w:line="264" w:lineRule="auto"/>
              <w:jc w:val="both"/>
              <w:rPr>
                <w:rFonts w:ascii="Candara" w:hAnsi="Candara" w:cs="Times New Roman"/>
              </w:rPr>
            </w:pPr>
            <w:r w:rsidRPr="0016235B">
              <w:rPr>
                <w:rFonts w:ascii="Candara" w:hAnsi="Candara" w:cs="Times New Roman"/>
              </w:rPr>
              <w:t xml:space="preserve">Private facilities </w:t>
            </w:r>
            <w:r w:rsidR="00930B75">
              <w:rPr>
                <w:rFonts w:ascii="Candara" w:hAnsi="Candara" w:cs="Times New Roman"/>
              </w:rPr>
              <w:t>we</w:t>
            </w:r>
            <w:r w:rsidRPr="0016235B">
              <w:rPr>
                <w:rFonts w:ascii="Candara" w:hAnsi="Candara" w:cs="Times New Roman"/>
              </w:rPr>
              <w:t>re more likely to offer NCDs services than public facilities</w:t>
            </w:r>
          </w:p>
          <w:p w14:paraId="25328BA5" w14:textId="78C44312" w:rsidR="000627A1" w:rsidRPr="0016235B" w:rsidRDefault="000627A1" w:rsidP="006F3232">
            <w:pPr>
              <w:pStyle w:val="ListParagraph"/>
              <w:numPr>
                <w:ilvl w:val="0"/>
                <w:numId w:val="18"/>
              </w:numPr>
              <w:spacing w:after="120" w:line="264" w:lineRule="auto"/>
              <w:jc w:val="both"/>
              <w:rPr>
                <w:rFonts w:ascii="Candara" w:hAnsi="Candara"/>
              </w:rPr>
            </w:pPr>
            <w:r w:rsidRPr="0016235B">
              <w:rPr>
                <w:rFonts w:ascii="Candara" w:hAnsi="Candara" w:cs="Times New Roman"/>
              </w:rPr>
              <w:t>Mid-west ha</w:t>
            </w:r>
            <w:r w:rsidR="00930B75">
              <w:rPr>
                <w:rFonts w:ascii="Candara" w:hAnsi="Candara" w:cs="Times New Roman"/>
              </w:rPr>
              <w:t>d</w:t>
            </w:r>
            <w:r w:rsidRPr="0016235B">
              <w:rPr>
                <w:rFonts w:ascii="Candara" w:hAnsi="Candara" w:cs="Times New Roman"/>
              </w:rPr>
              <w:t xml:space="preserve"> the highest </w:t>
            </w:r>
            <w:r w:rsidR="00930B75">
              <w:rPr>
                <w:rFonts w:ascii="Candara" w:hAnsi="Candara" w:cs="Times New Roman"/>
              </w:rPr>
              <w:t>p</w:t>
            </w:r>
            <w:r w:rsidRPr="0016235B">
              <w:rPr>
                <w:rFonts w:ascii="Candara" w:hAnsi="Candara" w:cs="Times New Roman"/>
              </w:rPr>
              <w:t xml:space="preserve">ercentage of facilities offering NCD services at 100% followed by Kampala at 70% and the least facilities offering NCD services </w:t>
            </w:r>
            <w:r w:rsidR="00930B75">
              <w:rPr>
                <w:rFonts w:ascii="Candara" w:hAnsi="Candara" w:cs="Times New Roman"/>
              </w:rPr>
              <w:t>were in</w:t>
            </w:r>
            <w:r w:rsidRPr="0016235B">
              <w:rPr>
                <w:rFonts w:ascii="Candara" w:hAnsi="Candara" w:cs="Times New Roman"/>
              </w:rPr>
              <w:t xml:space="preserve"> Karamoja</w:t>
            </w:r>
            <w:r w:rsidR="00930B75">
              <w:rPr>
                <w:rFonts w:ascii="Candara" w:hAnsi="Candara" w:cs="Times New Roman"/>
              </w:rPr>
              <w:t xml:space="preserve"> at</w:t>
            </w:r>
            <w:r w:rsidRPr="0016235B">
              <w:rPr>
                <w:rFonts w:ascii="Candara" w:hAnsi="Candara" w:cs="Times New Roman"/>
              </w:rPr>
              <w:t xml:space="preserve"> 13%</w:t>
            </w:r>
          </w:p>
        </w:tc>
      </w:tr>
    </w:tbl>
    <w:p w14:paraId="1033598A" w14:textId="77777777" w:rsidR="00F35FC7" w:rsidRPr="0016235B" w:rsidRDefault="00F35FC7" w:rsidP="00F35FC7">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 of facilities offering Diabetes services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(n=56)</w:t>
      </w:r>
    </w:p>
    <w:p w14:paraId="1CFEB710" w14:textId="27FDF316" w:rsidR="00F35FC7" w:rsidRPr="0016235B" w:rsidRDefault="0033193B" w:rsidP="00F35FC7">
      <w:pPr>
        <w:jc w:val="both"/>
        <w:rPr>
          <w:rFonts w:ascii="Candara" w:hAnsi="Candara" w:cs="Times New Roman"/>
        </w:rPr>
      </w:pPr>
      <w:r w:rsidRPr="0016235B">
        <w:rPr>
          <w:rFonts w:ascii="Candara" w:hAnsi="Candara"/>
          <w:noProof/>
        </w:rPr>
        <w:lastRenderedPageBreak/>
        <w:drawing>
          <wp:inline distT="0" distB="0" distL="0" distR="0" wp14:anchorId="54635860" wp14:editId="17C93B0C">
            <wp:extent cx="5819775" cy="3857625"/>
            <wp:effectExtent l="0" t="0" r="9525" b="9525"/>
            <wp:docPr id="131" name="Chart 1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1DEB09D0" w14:textId="77777777" w:rsidR="0033193B" w:rsidRPr="0016235B" w:rsidRDefault="0033193B" w:rsidP="00F35FC7">
      <w:pPr>
        <w:jc w:val="both"/>
        <w:rPr>
          <w:rFonts w:ascii="Candara" w:hAnsi="Candara" w:cs="Times New Roman"/>
        </w:rPr>
      </w:pPr>
    </w:p>
    <w:p w14:paraId="450E65AF" w14:textId="7A10FADA" w:rsidR="0033193B" w:rsidRPr="0016235B" w:rsidRDefault="0033193B" w:rsidP="0033193B">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 of facilities that indicated they offered services for cardiovascular diseases, by key equity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w:t>
      </w:r>
      <w:r w:rsidR="00C160C3" w:rsidRPr="0016235B">
        <w:rPr>
          <w:rFonts w:ascii="Candara" w:eastAsia="Times New Roman" w:hAnsi="Candara" w:cs="Times New Roman"/>
          <w:b/>
          <w:bCs/>
          <w:sz w:val="24"/>
          <w:szCs w:val="24"/>
          <w:lang w:eastAsia="en-GB"/>
        </w:rPr>
        <w:t>77</w:t>
      </w:r>
      <w:r w:rsidRPr="0016235B">
        <w:rPr>
          <w:rFonts w:ascii="Candara" w:eastAsia="Times New Roman" w:hAnsi="Candara" w:cs="Times New Roman"/>
          <w:b/>
          <w:bCs/>
          <w:sz w:val="24"/>
          <w:szCs w:val="24"/>
          <w:lang w:eastAsia="en-GB"/>
        </w:rPr>
        <w:t>)</w:t>
      </w:r>
    </w:p>
    <w:p w14:paraId="545FCFBA" w14:textId="61F60899" w:rsidR="0033193B" w:rsidRPr="0016235B" w:rsidRDefault="0033193B" w:rsidP="0033193B">
      <w:pPr>
        <w:spacing w:after="0" w:line="240" w:lineRule="auto"/>
        <w:jc w:val="both"/>
        <w:rPr>
          <w:rFonts w:ascii="Candara" w:eastAsia="Times New Roman" w:hAnsi="Candara" w:cs="Times New Roman"/>
          <w:bCs/>
          <w:lang w:eastAsia="en-GB"/>
        </w:rPr>
      </w:pPr>
      <w:r w:rsidRPr="0016235B">
        <w:rPr>
          <w:rFonts w:ascii="Candara" w:hAnsi="Candara"/>
          <w:noProof/>
        </w:rPr>
        <w:drawing>
          <wp:inline distT="0" distB="0" distL="0" distR="0" wp14:anchorId="36B4B005" wp14:editId="3C3A4327">
            <wp:extent cx="5711190" cy="3419475"/>
            <wp:effectExtent l="0" t="0" r="3810" b="9525"/>
            <wp:docPr id="132" name="Chart 132">
              <a:extLst xmlns:a="http://schemas.openxmlformats.org/drawingml/2006/main">
                <a:ext uri="{FF2B5EF4-FFF2-40B4-BE49-F238E27FC236}">
                  <a16:creationId xmlns:a16="http://schemas.microsoft.com/office/drawing/2014/main" id="{2105BB23-3D93-4D2C-A997-4F77F00BE7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5CE42ADB" w14:textId="77777777" w:rsidR="0033193B" w:rsidRPr="0016235B" w:rsidRDefault="0033193B" w:rsidP="00F35FC7">
      <w:pPr>
        <w:jc w:val="both"/>
        <w:rPr>
          <w:rFonts w:ascii="Candara" w:hAnsi="Candara" w:cs="Times New Roman"/>
        </w:rPr>
      </w:pPr>
    </w:p>
    <w:p w14:paraId="384CF989" w14:textId="77777777" w:rsidR="0033193B" w:rsidRPr="0016235B" w:rsidRDefault="0033193B" w:rsidP="00F35FC7">
      <w:pPr>
        <w:jc w:val="both"/>
        <w:rPr>
          <w:rFonts w:ascii="Candara" w:hAnsi="Candara" w:cs="Times New Roman"/>
        </w:rPr>
      </w:pPr>
    </w:p>
    <w:p w14:paraId="7C0DDEC6" w14:textId="77777777" w:rsidR="0033193B" w:rsidRPr="0016235B" w:rsidRDefault="0033193B" w:rsidP="00F35FC7">
      <w:pPr>
        <w:jc w:val="both"/>
        <w:rPr>
          <w:rFonts w:ascii="Candara" w:hAnsi="Candara" w:cs="Times New Roman"/>
        </w:rPr>
      </w:pPr>
    </w:p>
    <w:p w14:paraId="078A48D2" w14:textId="77777777" w:rsidR="00C160C3" w:rsidRPr="0016235B" w:rsidRDefault="00C160C3" w:rsidP="00F35FC7">
      <w:pPr>
        <w:jc w:val="both"/>
        <w:rPr>
          <w:rFonts w:ascii="Candara" w:hAnsi="Candara" w:cs="Times New Roman"/>
        </w:rPr>
      </w:pPr>
    </w:p>
    <w:tbl>
      <w:tblPr>
        <w:tblStyle w:val="TableGrid"/>
        <w:tblW w:w="9535" w:type="dxa"/>
        <w:tblLook w:val="04A0" w:firstRow="1" w:lastRow="0" w:firstColumn="1" w:lastColumn="0" w:noHBand="0" w:noVBand="1"/>
      </w:tblPr>
      <w:tblGrid>
        <w:gridCol w:w="9535"/>
      </w:tblGrid>
      <w:tr w:rsidR="000627A1" w:rsidRPr="0016235B" w14:paraId="4A5C0A61" w14:textId="77777777" w:rsidTr="00244BC6">
        <w:trPr>
          <w:trHeight w:val="262"/>
        </w:trPr>
        <w:tc>
          <w:tcPr>
            <w:tcW w:w="9535" w:type="dxa"/>
          </w:tcPr>
          <w:p w14:paraId="4038492D" w14:textId="77777777" w:rsidR="000627A1" w:rsidRPr="0016235B" w:rsidRDefault="000627A1" w:rsidP="00244BC6">
            <w:pPr>
              <w:rPr>
                <w:rFonts w:ascii="Candara" w:hAnsi="Candara"/>
                <w:b/>
              </w:rPr>
            </w:pPr>
            <w:r w:rsidRPr="0016235B">
              <w:rPr>
                <w:rFonts w:ascii="Candara" w:hAnsi="Candara"/>
                <w:b/>
              </w:rPr>
              <w:lastRenderedPageBreak/>
              <w:t>Key findings</w:t>
            </w:r>
          </w:p>
        </w:tc>
      </w:tr>
      <w:tr w:rsidR="000627A1" w:rsidRPr="0016235B" w14:paraId="04BA076F" w14:textId="77777777" w:rsidTr="00244BC6">
        <w:trPr>
          <w:trHeight w:val="2222"/>
        </w:trPr>
        <w:tc>
          <w:tcPr>
            <w:tcW w:w="9535" w:type="dxa"/>
          </w:tcPr>
          <w:p w14:paraId="48070C92" w14:textId="77777777" w:rsidR="000627A1" w:rsidRPr="0016235B" w:rsidRDefault="000627A1" w:rsidP="00244BC6">
            <w:pPr>
              <w:jc w:val="both"/>
              <w:rPr>
                <w:rFonts w:ascii="Candara" w:hAnsi="Candara" w:cs="Times New Roman"/>
                <w:b/>
              </w:rPr>
            </w:pPr>
          </w:p>
          <w:p w14:paraId="517A1501" w14:textId="77777777" w:rsidR="000627A1" w:rsidRPr="0016235B" w:rsidRDefault="000627A1" w:rsidP="00244BC6">
            <w:pPr>
              <w:jc w:val="both"/>
              <w:rPr>
                <w:rFonts w:ascii="Candara" w:hAnsi="Candara" w:cs="Times New Roman"/>
                <w:b/>
              </w:rPr>
            </w:pPr>
            <w:r w:rsidRPr="0016235B">
              <w:rPr>
                <w:rFonts w:ascii="Candara" w:hAnsi="Candara" w:cs="Times New Roman"/>
                <w:b/>
              </w:rPr>
              <w:t>Diabetes</w:t>
            </w:r>
          </w:p>
          <w:p w14:paraId="5384AAA4" w14:textId="5AB38E82" w:rsidR="000627A1" w:rsidRPr="0016235B" w:rsidRDefault="000627A1" w:rsidP="005722F2">
            <w:pPr>
              <w:pStyle w:val="ListParagraph"/>
              <w:numPr>
                <w:ilvl w:val="0"/>
                <w:numId w:val="17"/>
              </w:numPr>
              <w:spacing w:after="120" w:line="264" w:lineRule="auto"/>
              <w:jc w:val="both"/>
              <w:rPr>
                <w:rFonts w:ascii="Candara" w:hAnsi="Candara" w:cs="Times New Roman"/>
              </w:rPr>
            </w:pPr>
            <w:r w:rsidRPr="0016235B">
              <w:rPr>
                <w:rFonts w:ascii="Candara" w:hAnsi="Candara" w:cs="Times New Roman"/>
              </w:rPr>
              <w:t>Of the facilities that provide</w:t>
            </w:r>
            <w:r w:rsidR="00930B75">
              <w:rPr>
                <w:rFonts w:ascii="Candara" w:hAnsi="Candara" w:cs="Times New Roman"/>
              </w:rPr>
              <w:t>d</w:t>
            </w:r>
            <w:r w:rsidRPr="0016235B">
              <w:rPr>
                <w:rFonts w:ascii="Candara" w:hAnsi="Candara" w:cs="Times New Roman"/>
              </w:rPr>
              <w:t xml:space="preserve"> NCD services, 62% offer</w:t>
            </w:r>
            <w:r w:rsidR="00930B75">
              <w:rPr>
                <w:rFonts w:ascii="Candara" w:hAnsi="Candara" w:cs="Times New Roman"/>
              </w:rPr>
              <w:t>ed</w:t>
            </w:r>
            <w:r w:rsidRPr="0016235B">
              <w:rPr>
                <w:rFonts w:ascii="Candara" w:hAnsi="Candara" w:cs="Times New Roman"/>
              </w:rPr>
              <w:t xml:space="preserve"> diagnosis and management of diabetes</w:t>
            </w:r>
          </w:p>
          <w:p w14:paraId="23934945" w14:textId="16EC488B" w:rsidR="000627A1" w:rsidRPr="0016235B" w:rsidRDefault="000627A1" w:rsidP="005722F2">
            <w:pPr>
              <w:pStyle w:val="ListParagraph"/>
              <w:numPr>
                <w:ilvl w:val="0"/>
                <w:numId w:val="17"/>
              </w:numPr>
              <w:spacing w:after="120" w:line="264" w:lineRule="auto"/>
              <w:jc w:val="both"/>
              <w:rPr>
                <w:rFonts w:ascii="Candara" w:hAnsi="Candara" w:cs="Times New Roman"/>
              </w:rPr>
            </w:pPr>
            <w:r w:rsidRPr="0016235B">
              <w:rPr>
                <w:rFonts w:ascii="Candara" w:hAnsi="Candara" w:cs="Times New Roman"/>
              </w:rPr>
              <w:t xml:space="preserve">Kampala </w:t>
            </w:r>
            <w:r w:rsidR="00930B75">
              <w:rPr>
                <w:rFonts w:ascii="Candara" w:hAnsi="Candara" w:cs="Times New Roman"/>
              </w:rPr>
              <w:t>wa</w:t>
            </w:r>
            <w:r w:rsidRPr="0016235B">
              <w:rPr>
                <w:rFonts w:ascii="Candara" w:hAnsi="Candara" w:cs="Times New Roman"/>
              </w:rPr>
              <w:t xml:space="preserve">s the region with highest percentage (77%) of facilities providing services for diabetes, with the least being Mid-East at 64% </w:t>
            </w:r>
          </w:p>
          <w:p w14:paraId="646EA0EC" w14:textId="527AB6D9" w:rsidR="000627A1" w:rsidRPr="0016235B" w:rsidRDefault="000627A1" w:rsidP="005722F2">
            <w:pPr>
              <w:pStyle w:val="ListParagraph"/>
              <w:numPr>
                <w:ilvl w:val="0"/>
                <w:numId w:val="17"/>
              </w:numPr>
              <w:spacing w:after="120" w:line="264" w:lineRule="auto"/>
              <w:jc w:val="both"/>
              <w:rPr>
                <w:rFonts w:ascii="Candara" w:hAnsi="Candara" w:cs="Times New Roman"/>
              </w:rPr>
            </w:pPr>
            <w:r w:rsidRPr="0016235B">
              <w:rPr>
                <w:rFonts w:ascii="Candara" w:hAnsi="Candara" w:cs="Times New Roman"/>
              </w:rPr>
              <w:t xml:space="preserve">The proportion of facilities providing diabetes </w:t>
            </w:r>
            <w:r w:rsidR="00930B75">
              <w:rPr>
                <w:rFonts w:ascii="Candara" w:hAnsi="Candara" w:cs="Times New Roman"/>
              </w:rPr>
              <w:t>was</w:t>
            </w:r>
            <w:r w:rsidRPr="0016235B">
              <w:rPr>
                <w:rFonts w:ascii="Candara" w:hAnsi="Candara" w:cs="Times New Roman"/>
              </w:rPr>
              <w:t xml:space="preserve"> </w:t>
            </w:r>
            <w:r w:rsidR="00930B75">
              <w:rPr>
                <w:rFonts w:ascii="Candara" w:hAnsi="Candara" w:cs="Times New Roman"/>
              </w:rPr>
              <w:t>comparable/similar</w:t>
            </w:r>
            <w:r w:rsidRPr="0016235B">
              <w:rPr>
                <w:rFonts w:ascii="Candara" w:hAnsi="Candara" w:cs="Times New Roman"/>
              </w:rPr>
              <w:t xml:space="preserve"> between urban (75%) and rural (74%)</w:t>
            </w:r>
          </w:p>
          <w:p w14:paraId="03207B2B" w14:textId="77777777" w:rsidR="000627A1" w:rsidRPr="0016235B" w:rsidRDefault="000627A1" w:rsidP="00244BC6">
            <w:pPr>
              <w:spacing w:after="120" w:line="264" w:lineRule="auto"/>
              <w:jc w:val="both"/>
              <w:rPr>
                <w:rFonts w:ascii="Candara" w:hAnsi="Candara" w:cs="Times New Roman"/>
                <w:b/>
              </w:rPr>
            </w:pPr>
            <w:r w:rsidRPr="0016235B">
              <w:rPr>
                <w:rFonts w:ascii="Candara" w:hAnsi="Candara" w:cs="Times New Roman"/>
                <w:b/>
              </w:rPr>
              <w:t>Cardiovascular disease</w:t>
            </w:r>
          </w:p>
          <w:p w14:paraId="1021D6A6" w14:textId="5CF8F0E3" w:rsidR="000627A1" w:rsidRPr="0016235B" w:rsidRDefault="000627A1" w:rsidP="005722F2">
            <w:pPr>
              <w:pStyle w:val="ListParagraph"/>
              <w:numPr>
                <w:ilvl w:val="0"/>
                <w:numId w:val="17"/>
              </w:numPr>
              <w:spacing w:after="120" w:line="264" w:lineRule="auto"/>
              <w:jc w:val="both"/>
              <w:rPr>
                <w:rFonts w:ascii="Candara" w:hAnsi="Candara" w:cs="Times New Roman"/>
              </w:rPr>
            </w:pPr>
            <w:r w:rsidRPr="0016235B">
              <w:rPr>
                <w:rFonts w:ascii="Candara" w:hAnsi="Candara" w:cs="Times New Roman"/>
              </w:rPr>
              <w:t>Of the facilities that provide NCD services, 85% offer</w:t>
            </w:r>
            <w:r w:rsidR="00930B75">
              <w:rPr>
                <w:rFonts w:ascii="Candara" w:hAnsi="Candara" w:cs="Times New Roman"/>
              </w:rPr>
              <w:t>ed</w:t>
            </w:r>
            <w:r w:rsidRPr="0016235B">
              <w:rPr>
                <w:rFonts w:ascii="Candara" w:hAnsi="Candara" w:cs="Times New Roman"/>
              </w:rPr>
              <w:t xml:space="preserve"> diagnosis and management of cardiovascular disease</w:t>
            </w:r>
          </w:p>
          <w:p w14:paraId="7D34505B" w14:textId="6CE59FD4" w:rsidR="000627A1" w:rsidRPr="0016235B" w:rsidRDefault="000627A1" w:rsidP="005722F2">
            <w:pPr>
              <w:pStyle w:val="ListParagraph"/>
              <w:numPr>
                <w:ilvl w:val="0"/>
                <w:numId w:val="17"/>
              </w:numPr>
              <w:spacing w:after="120" w:line="264" w:lineRule="auto"/>
              <w:jc w:val="both"/>
              <w:rPr>
                <w:rFonts w:ascii="Candara" w:hAnsi="Candara" w:cs="Times New Roman"/>
              </w:rPr>
            </w:pPr>
            <w:r w:rsidRPr="0016235B">
              <w:rPr>
                <w:rFonts w:ascii="Candara" w:hAnsi="Candara" w:cs="Times New Roman"/>
              </w:rPr>
              <w:t>Cardiovascular disease and diagnosis services were available</w:t>
            </w:r>
            <w:r w:rsidR="00930B75">
              <w:rPr>
                <w:rFonts w:ascii="Candara" w:hAnsi="Candara" w:cs="Times New Roman"/>
              </w:rPr>
              <w:t xml:space="preserve"> in</w:t>
            </w:r>
            <w:r w:rsidRPr="0016235B">
              <w:rPr>
                <w:rFonts w:ascii="Candara" w:hAnsi="Candara" w:cs="Times New Roman"/>
              </w:rPr>
              <w:t xml:space="preserve"> all health facilities assessed in Central 2, Karamoja, Mid-north, Mid-west, and North-East</w:t>
            </w:r>
            <w:r w:rsidR="00692D03">
              <w:rPr>
                <w:rFonts w:ascii="Candara" w:hAnsi="Candara" w:cs="Times New Roman"/>
              </w:rPr>
              <w:t>. The services were</w:t>
            </w:r>
            <w:r w:rsidRPr="0016235B">
              <w:rPr>
                <w:rFonts w:ascii="Candara" w:hAnsi="Candara" w:cs="Times New Roman"/>
              </w:rPr>
              <w:t xml:space="preserve"> least available in W. Nile at 52%</w:t>
            </w:r>
          </w:p>
          <w:p w14:paraId="5AFBB0C9" w14:textId="77777777" w:rsidR="000627A1" w:rsidRPr="0016235B" w:rsidRDefault="000627A1" w:rsidP="00244BC6">
            <w:pPr>
              <w:pStyle w:val="ListParagraph"/>
              <w:jc w:val="both"/>
              <w:rPr>
                <w:rFonts w:ascii="Candara" w:hAnsi="Candara"/>
              </w:rPr>
            </w:pPr>
          </w:p>
        </w:tc>
      </w:tr>
    </w:tbl>
    <w:p w14:paraId="662FC20F" w14:textId="616261CC" w:rsidR="00F35FC7" w:rsidRPr="0016235B" w:rsidRDefault="00F35FC7" w:rsidP="00672B04">
      <w:pPr>
        <w:pStyle w:val="ListParagraph"/>
        <w:jc w:val="both"/>
        <w:rPr>
          <w:rFonts w:ascii="Candara" w:hAnsi="Candara" w:cs="Times New Roman"/>
        </w:rPr>
      </w:pPr>
    </w:p>
    <w:p w14:paraId="32DFE095" w14:textId="77777777" w:rsidR="00C160C3" w:rsidRPr="0016235B" w:rsidRDefault="00C160C3" w:rsidP="00672B04">
      <w:pPr>
        <w:spacing w:after="0" w:line="240" w:lineRule="auto"/>
        <w:jc w:val="both"/>
        <w:rPr>
          <w:rFonts w:ascii="Candara" w:eastAsia="Times New Roman" w:hAnsi="Candara" w:cs="Times New Roman"/>
          <w:b/>
          <w:bCs/>
          <w:lang w:eastAsia="en-GB"/>
        </w:rPr>
      </w:pPr>
    </w:p>
    <w:p w14:paraId="51B78B0C" w14:textId="77777777" w:rsidR="00C160C3" w:rsidRPr="0016235B" w:rsidRDefault="00C160C3" w:rsidP="00672B04">
      <w:pPr>
        <w:spacing w:after="0" w:line="240" w:lineRule="auto"/>
        <w:jc w:val="both"/>
        <w:rPr>
          <w:rFonts w:ascii="Candara" w:eastAsia="Times New Roman" w:hAnsi="Candara" w:cs="Times New Roman"/>
          <w:b/>
          <w:bCs/>
          <w:lang w:eastAsia="en-GB"/>
        </w:rPr>
      </w:pPr>
    </w:p>
    <w:p w14:paraId="34E94861" w14:textId="3EFC960E" w:rsidR="0093462F" w:rsidRPr="0016235B" w:rsidRDefault="0093462F" w:rsidP="0093462F">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 of facilities that indicated that they offer services for diagnosis of </w:t>
      </w:r>
      <w:r w:rsidR="008F6BD6" w:rsidRPr="0016235B">
        <w:rPr>
          <w:rFonts w:ascii="Candara" w:eastAsia="Times New Roman" w:hAnsi="Candara" w:cs="Times New Roman"/>
          <w:b/>
          <w:bCs/>
          <w:sz w:val="24"/>
          <w:szCs w:val="24"/>
          <w:lang w:eastAsia="en-GB"/>
        </w:rPr>
        <w:t>C</w:t>
      </w:r>
      <w:r w:rsidRPr="0016235B">
        <w:rPr>
          <w:rFonts w:ascii="Candara" w:eastAsia="Times New Roman" w:hAnsi="Candara" w:cs="Times New Roman"/>
          <w:b/>
          <w:bCs/>
          <w:sz w:val="24"/>
          <w:szCs w:val="24"/>
          <w:lang w:eastAsia="en-GB"/>
        </w:rPr>
        <w:t>ervical cancer (N=</w:t>
      </w:r>
      <w:r w:rsidR="008F6BD6" w:rsidRPr="0016235B">
        <w:rPr>
          <w:rFonts w:ascii="Candara" w:eastAsia="Times New Roman" w:hAnsi="Candara" w:cs="Times New Roman"/>
          <w:b/>
          <w:bCs/>
          <w:sz w:val="24"/>
          <w:szCs w:val="24"/>
          <w:lang w:eastAsia="en-GB"/>
        </w:rPr>
        <w:t>28</w:t>
      </w:r>
      <w:r w:rsidRPr="0016235B">
        <w:rPr>
          <w:rFonts w:ascii="Candara" w:eastAsia="Times New Roman" w:hAnsi="Candara" w:cs="Times New Roman"/>
          <w:b/>
          <w:bCs/>
          <w:sz w:val="24"/>
          <w:szCs w:val="24"/>
          <w:lang w:eastAsia="en-GB"/>
        </w:rPr>
        <w:t>)</w:t>
      </w:r>
    </w:p>
    <w:p w14:paraId="748A92F1" w14:textId="3ACFF47B" w:rsidR="0093462F" w:rsidRPr="0016235B" w:rsidRDefault="008F6BD6" w:rsidP="0093462F">
      <w:pPr>
        <w:rPr>
          <w:rFonts w:ascii="Candara" w:hAnsi="Candara"/>
        </w:rPr>
      </w:pPr>
      <w:r w:rsidRPr="0016235B">
        <w:rPr>
          <w:rFonts w:ascii="Candara" w:hAnsi="Candara"/>
          <w:noProof/>
        </w:rPr>
        <w:drawing>
          <wp:inline distT="0" distB="0" distL="0" distR="0" wp14:anchorId="56E2E1CF" wp14:editId="05B8BC0D">
            <wp:extent cx="5581650" cy="3381375"/>
            <wp:effectExtent l="0" t="0" r="0" b="9525"/>
            <wp:docPr id="133" name="Chart 133">
              <a:extLst xmlns:a="http://schemas.openxmlformats.org/drawingml/2006/main">
                <a:ext uri="{FF2B5EF4-FFF2-40B4-BE49-F238E27FC236}">
                  <a16:creationId xmlns:a16="http://schemas.microsoft.com/office/drawing/2014/main" id="{78BA30BD-C5DF-4D1D-BEC6-A7FF9085BB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7DE11351" w14:textId="77777777" w:rsidR="000627A1" w:rsidRPr="0016235B" w:rsidRDefault="000627A1" w:rsidP="0093462F">
      <w:pPr>
        <w:rPr>
          <w:rFonts w:ascii="Candara" w:hAnsi="Candara"/>
        </w:rPr>
      </w:pPr>
    </w:p>
    <w:tbl>
      <w:tblPr>
        <w:tblStyle w:val="TableGrid"/>
        <w:tblW w:w="9535" w:type="dxa"/>
        <w:tblLook w:val="04A0" w:firstRow="1" w:lastRow="0" w:firstColumn="1" w:lastColumn="0" w:noHBand="0" w:noVBand="1"/>
      </w:tblPr>
      <w:tblGrid>
        <w:gridCol w:w="9535"/>
      </w:tblGrid>
      <w:tr w:rsidR="000627A1" w:rsidRPr="0016235B" w14:paraId="7B879C54" w14:textId="77777777" w:rsidTr="00244BC6">
        <w:trPr>
          <w:trHeight w:val="262"/>
        </w:trPr>
        <w:tc>
          <w:tcPr>
            <w:tcW w:w="9535" w:type="dxa"/>
          </w:tcPr>
          <w:p w14:paraId="52435102" w14:textId="77777777" w:rsidR="000627A1" w:rsidRPr="0016235B" w:rsidRDefault="000627A1" w:rsidP="00244BC6">
            <w:pPr>
              <w:rPr>
                <w:rFonts w:ascii="Candara" w:hAnsi="Candara"/>
                <w:b/>
              </w:rPr>
            </w:pPr>
            <w:r w:rsidRPr="0016235B">
              <w:rPr>
                <w:rFonts w:ascii="Candara" w:hAnsi="Candara"/>
                <w:b/>
              </w:rPr>
              <w:t>Key findings</w:t>
            </w:r>
          </w:p>
        </w:tc>
      </w:tr>
      <w:tr w:rsidR="000627A1" w:rsidRPr="0016235B" w14:paraId="7CC3C81E" w14:textId="77777777" w:rsidTr="00F03864">
        <w:trPr>
          <w:trHeight w:val="2325"/>
        </w:trPr>
        <w:tc>
          <w:tcPr>
            <w:tcW w:w="9535" w:type="dxa"/>
          </w:tcPr>
          <w:p w14:paraId="1C854438" w14:textId="77777777" w:rsidR="000627A1" w:rsidRPr="0016235B" w:rsidRDefault="000627A1" w:rsidP="00244BC6">
            <w:pPr>
              <w:jc w:val="both"/>
              <w:rPr>
                <w:rFonts w:ascii="Candara" w:hAnsi="Candara" w:cs="Times New Roman"/>
                <w:b/>
              </w:rPr>
            </w:pPr>
          </w:p>
          <w:p w14:paraId="3F96DC01" w14:textId="76F6B423" w:rsidR="000627A1" w:rsidRPr="0016235B" w:rsidRDefault="000627A1" w:rsidP="005722F2">
            <w:pPr>
              <w:pStyle w:val="ListParagraph"/>
              <w:numPr>
                <w:ilvl w:val="0"/>
                <w:numId w:val="19"/>
              </w:numPr>
              <w:spacing w:after="120" w:line="264" w:lineRule="auto"/>
              <w:jc w:val="both"/>
              <w:rPr>
                <w:rFonts w:ascii="Candara" w:hAnsi="Candara" w:cs="Times New Roman"/>
              </w:rPr>
            </w:pPr>
            <w:r w:rsidRPr="0016235B">
              <w:rPr>
                <w:rFonts w:ascii="Candara" w:hAnsi="Candara" w:cs="Times New Roman"/>
              </w:rPr>
              <w:t>Of the facilities that provide</w:t>
            </w:r>
            <w:r w:rsidR="00692D03">
              <w:rPr>
                <w:rFonts w:ascii="Candara" w:hAnsi="Candara" w:cs="Times New Roman"/>
              </w:rPr>
              <w:t>d</w:t>
            </w:r>
            <w:r w:rsidRPr="0016235B">
              <w:rPr>
                <w:rFonts w:ascii="Candara" w:hAnsi="Candara" w:cs="Times New Roman"/>
              </w:rPr>
              <w:t xml:space="preserve"> NCD services, 31% offer</w:t>
            </w:r>
            <w:r w:rsidR="00692D03">
              <w:rPr>
                <w:rFonts w:ascii="Candara" w:hAnsi="Candara" w:cs="Times New Roman"/>
              </w:rPr>
              <w:t>ed</w:t>
            </w:r>
            <w:r w:rsidRPr="0016235B">
              <w:rPr>
                <w:rFonts w:ascii="Candara" w:hAnsi="Candara" w:cs="Times New Roman"/>
              </w:rPr>
              <w:t xml:space="preserve"> diagnosis for cervical cancer</w:t>
            </w:r>
          </w:p>
          <w:p w14:paraId="1982ED07" w14:textId="5E873A7A" w:rsidR="000627A1" w:rsidRPr="0016235B" w:rsidRDefault="000627A1" w:rsidP="005722F2">
            <w:pPr>
              <w:pStyle w:val="ListParagraph"/>
              <w:numPr>
                <w:ilvl w:val="0"/>
                <w:numId w:val="19"/>
              </w:numPr>
              <w:spacing w:after="120" w:line="264" w:lineRule="auto"/>
              <w:jc w:val="both"/>
              <w:rPr>
                <w:rFonts w:ascii="Candara" w:hAnsi="Candara" w:cs="Times New Roman"/>
              </w:rPr>
            </w:pPr>
            <w:r w:rsidRPr="0016235B">
              <w:rPr>
                <w:rFonts w:ascii="Candara" w:hAnsi="Candara" w:cs="Times New Roman"/>
              </w:rPr>
              <w:t>Central 1 had the most facilities (57%) offering cervical cancer diagnosis services while Central 2 and Karamoja ha</w:t>
            </w:r>
            <w:r w:rsidR="00692D03">
              <w:rPr>
                <w:rFonts w:ascii="Candara" w:hAnsi="Candara" w:cs="Times New Roman"/>
              </w:rPr>
              <w:t>d</w:t>
            </w:r>
            <w:r w:rsidRPr="0016235B">
              <w:rPr>
                <w:rFonts w:ascii="Candara" w:hAnsi="Candara" w:cs="Times New Roman"/>
              </w:rPr>
              <w:t xml:space="preserve"> no facilities offering cervical cancer diagnosis </w:t>
            </w:r>
          </w:p>
          <w:p w14:paraId="67D42982" w14:textId="67DD2108" w:rsidR="006F3232" w:rsidRPr="006F3232" w:rsidRDefault="000627A1" w:rsidP="006F3232">
            <w:pPr>
              <w:pStyle w:val="ListParagraph"/>
              <w:numPr>
                <w:ilvl w:val="0"/>
                <w:numId w:val="19"/>
              </w:numPr>
              <w:spacing w:after="120" w:line="264" w:lineRule="auto"/>
              <w:jc w:val="both"/>
              <w:rPr>
                <w:rFonts w:ascii="Candara" w:hAnsi="Candara"/>
              </w:rPr>
            </w:pPr>
            <w:r w:rsidRPr="0016235B">
              <w:rPr>
                <w:rFonts w:ascii="Candara" w:hAnsi="Candara" w:cs="Times New Roman"/>
              </w:rPr>
              <w:t>Slightly more facilities in urban areas (37%) offer</w:t>
            </w:r>
            <w:r w:rsidR="00692D03">
              <w:rPr>
                <w:rFonts w:ascii="Candara" w:hAnsi="Candara" w:cs="Times New Roman"/>
              </w:rPr>
              <w:t>ed</w:t>
            </w:r>
            <w:r w:rsidRPr="0016235B">
              <w:rPr>
                <w:rFonts w:ascii="Candara" w:hAnsi="Candara" w:cs="Times New Roman"/>
              </w:rPr>
              <w:t xml:space="preserve"> cervical cancer diagnosis services than in rural areas (25%)</w:t>
            </w:r>
          </w:p>
          <w:p w14:paraId="6AA95236" w14:textId="7259530E" w:rsidR="000627A1" w:rsidRPr="0016235B" w:rsidRDefault="000627A1" w:rsidP="006F3232">
            <w:pPr>
              <w:pStyle w:val="ListParagraph"/>
              <w:numPr>
                <w:ilvl w:val="0"/>
                <w:numId w:val="19"/>
              </w:numPr>
              <w:spacing w:after="120" w:line="264" w:lineRule="auto"/>
              <w:jc w:val="both"/>
              <w:rPr>
                <w:rFonts w:ascii="Candara" w:hAnsi="Candara"/>
              </w:rPr>
            </w:pPr>
            <w:r w:rsidRPr="0016235B">
              <w:rPr>
                <w:rFonts w:ascii="Candara" w:hAnsi="Candara" w:cs="Times New Roman"/>
              </w:rPr>
              <w:t>Regional hospitals offered the least cervical cancer diagnosis services</w:t>
            </w:r>
          </w:p>
        </w:tc>
      </w:tr>
    </w:tbl>
    <w:p w14:paraId="0334225D" w14:textId="37432465" w:rsidR="0093462F" w:rsidRPr="0016235B" w:rsidRDefault="0093462F" w:rsidP="0093462F">
      <w:pPr>
        <w:rPr>
          <w:rFonts w:ascii="Candara" w:hAnsi="Candara" w:cs="Times New Roman"/>
        </w:rPr>
      </w:pPr>
    </w:p>
    <w:p w14:paraId="5180C8E6" w14:textId="742B19CC" w:rsidR="00A04F75" w:rsidRPr="0016235B" w:rsidRDefault="00A04F75" w:rsidP="00A04F75">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Percentage of facilities that indicated they have services for chronic obstructive respiratory disease (N=64)</w:t>
      </w:r>
    </w:p>
    <w:p w14:paraId="54A80F59" w14:textId="77777777" w:rsidR="00A04F75" w:rsidRPr="0016235B" w:rsidRDefault="00A04F75" w:rsidP="00A04F75">
      <w:pPr>
        <w:rPr>
          <w:rFonts w:ascii="Candara" w:hAnsi="Candara" w:cs="Times New Roman"/>
        </w:rPr>
      </w:pPr>
      <w:r w:rsidRPr="0016235B">
        <w:rPr>
          <w:rFonts w:ascii="Candara" w:hAnsi="Candara" w:cs="Times New Roman"/>
          <w:noProof/>
        </w:rPr>
        <w:drawing>
          <wp:inline distT="0" distB="0" distL="0" distR="0" wp14:anchorId="4A2330A7" wp14:editId="44CAB647">
            <wp:extent cx="5725160" cy="3019425"/>
            <wp:effectExtent l="19050" t="19050" r="27940" b="285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952" cy="3023007"/>
                    </a:xfrm>
                    <a:prstGeom prst="rect">
                      <a:avLst/>
                    </a:prstGeom>
                    <a:ln w="15875">
                      <a:solidFill>
                        <a:srgbClr val="0070C0"/>
                      </a:solidFill>
                    </a:ln>
                  </pic:spPr>
                </pic:pic>
              </a:graphicData>
            </a:graphic>
          </wp:inline>
        </w:drawing>
      </w:r>
    </w:p>
    <w:p w14:paraId="45F5BBDD" w14:textId="77777777" w:rsidR="000627A1" w:rsidRPr="0016235B" w:rsidRDefault="000627A1" w:rsidP="00A04F75">
      <w:pPr>
        <w:rPr>
          <w:rFonts w:ascii="Candara" w:hAnsi="Candara" w:cs="Times New Roman"/>
        </w:rPr>
      </w:pPr>
    </w:p>
    <w:tbl>
      <w:tblPr>
        <w:tblStyle w:val="TableGrid"/>
        <w:tblW w:w="9535" w:type="dxa"/>
        <w:tblLook w:val="04A0" w:firstRow="1" w:lastRow="0" w:firstColumn="1" w:lastColumn="0" w:noHBand="0" w:noVBand="1"/>
      </w:tblPr>
      <w:tblGrid>
        <w:gridCol w:w="9535"/>
      </w:tblGrid>
      <w:tr w:rsidR="000627A1" w:rsidRPr="0016235B" w14:paraId="4AE4BFB1" w14:textId="77777777" w:rsidTr="00244BC6">
        <w:trPr>
          <w:trHeight w:val="262"/>
        </w:trPr>
        <w:tc>
          <w:tcPr>
            <w:tcW w:w="9535" w:type="dxa"/>
          </w:tcPr>
          <w:p w14:paraId="54F80BAD" w14:textId="77777777" w:rsidR="000627A1" w:rsidRPr="0016235B" w:rsidRDefault="000627A1" w:rsidP="00244BC6">
            <w:pPr>
              <w:rPr>
                <w:rFonts w:ascii="Candara" w:hAnsi="Candara"/>
                <w:b/>
              </w:rPr>
            </w:pPr>
            <w:r w:rsidRPr="0016235B">
              <w:rPr>
                <w:rFonts w:ascii="Candara" w:hAnsi="Candara"/>
                <w:b/>
              </w:rPr>
              <w:t>Key findings</w:t>
            </w:r>
          </w:p>
        </w:tc>
      </w:tr>
      <w:tr w:rsidR="000627A1" w:rsidRPr="0016235B" w14:paraId="7063F688" w14:textId="77777777" w:rsidTr="00244BC6">
        <w:trPr>
          <w:trHeight w:val="2222"/>
        </w:trPr>
        <w:tc>
          <w:tcPr>
            <w:tcW w:w="9535" w:type="dxa"/>
          </w:tcPr>
          <w:p w14:paraId="449ACCF5" w14:textId="77777777" w:rsidR="000627A1" w:rsidRPr="0016235B" w:rsidRDefault="000627A1" w:rsidP="00244BC6">
            <w:pPr>
              <w:jc w:val="both"/>
              <w:rPr>
                <w:rFonts w:ascii="Candara" w:hAnsi="Candara" w:cs="Times New Roman"/>
                <w:b/>
              </w:rPr>
            </w:pPr>
          </w:p>
          <w:p w14:paraId="01B59CD0" w14:textId="74189E42"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Of the facilities that provide NCD services, 71% offer</w:t>
            </w:r>
            <w:r w:rsidR="00692D03">
              <w:rPr>
                <w:rFonts w:ascii="Candara" w:hAnsi="Candara" w:cs="Times New Roman"/>
              </w:rPr>
              <w:t>ed</w:t>
            </w:r>
            <w:r w:rsidRPr="0016235B">
              <w:rPr>
                <w:rFonts w:ascii="Candara" w:hAnsi="Candara" w:cs="Times New Roman"/>
              </w:rPr>
              <w:t xml:space="preserve"> </w:t>
            </w:r>
            <w:r w:rsidRPr="0016235B">
              <w:rPr>
                <w:rFonts w:ascii="Candara" w:eastAsia="Times New Roman" w:hAnsi="Candara" w:cs="Times New Roman"/>
                <w:bCs/>
                <w:lang w:eastAsia="en-GB"/>
              </w:rPr>
              <w:t>Chronic Respiratory Disease Services</w:t>
            </w:r>
          </w:p>
          <w:p w14:paraId="2F4D87D1" w14:textId="7ADEC878"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eastAsia="Times New Roman" w:hAnsi="Candara" w:cs="Times New Roman"/>
                <w:bCs/>
                <w:lang w:eastAsia="en-GB"/>
              </w:rPr>
              <w:t>Chronic Respiratory Disease Services</w:t>
            </w:r>
            <w:r w:rsidRPr="0016235B">
              <w:rPr>
                <w:rFonts w:ascii="Candara" w:hAnsi="Candara" w:cs="Times New Roman"/>
              </w:rPr>
              <w:t xml:space="preserve"> were available in all regional hospitals and </w:t>
            </w:r>
            <w:r w:rsidR="00692D03">
              <w:rPr>
                <w:rFonts w:ascii="Candara" w:hAnsi="Candara" w:cs="Times New Roman"/>
              </w:rPr>
              <w:t>we</w:t>
            </w:r>
            <w:r w:rsidRPr="0016235B">
              <w:rPr>
                <w:rFonts w:ascii="Candara" w:hAnsi="Candara" w:cs="Times New Roman"/>
              </w:rPr>
              <w:t>re least available in HC II (57%)</w:t>
            </w:r>
          </w:p>
          <w:p w14:paraId="4C6035DE" w14:textId="4FBD9F60"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More public facilities (</w:t>
            </w:r>
            <w:r w:rsidRPr="0016235B">
              <w:rPr>
                <w:rFonts w:ascii="Candara" w:eastAsia="Times New Roman" w:hAnsi="Candara" w:cs="Times New Roman"/>
                <w:bCs/>
                <w:lang w:eastAsia="en-GB"/>
              </w:rPr>
              <w:t xml:space="preserve">84%) </w:t>
            </w:r>
            <w:r w:rsidRPr="0016235B">
              <w:rPr>
                <w:rFonts w:ascii="Candara" w:hAnsi="Candara" w:cs="Times New Roman"/>
              </w:rPr>
              <w:t>provide</w:t>
            </w:r>
            <w:r w:rsidR="00692D03">
              <w:rPr>
                <w:rFonts w:ascii="Candara" w:hAnsi="Candara" w:cs="Times New Roman"/>
              </w:rPr>
              <w:t>d</w:t>
            </w:r>
            <w:r w:rsidRPr="0016235B">
              <w:rPr>
                <w:rFonts w:ascii="Candara" w:hAnsi="Candara" w:cs="Times New Roman"/>
              </w:rPr>
              <w:t xml:space="preserve"> </w:t>
            </w:r>
            <w:r w:rsidRPr="0016235B">
              <w:rPr>
                <w:rFonts w:ascii="Candara" w:eastAsia="Times New Roman" w:hAnsi="Candara" w:cs="Times New Roman"/>
                <w:bCs/>
                <w:lang w:eastAsia="en-GB"/>
              </w:rPr>
              <w:t>Chronic Respiratory Disease Services</w:t>
            </w:r>
            <w:r w:rsidRPr="0016235B">
              <w:rPr>
                <w:rFonts w:ascii="Candara" w:hAnsi="Candara" w:cs="Times New Roman"/>
              </w:rPr>
              <w:t xml:space="preserve"> than private facilities (62%)</w:t>
            </w:r>
          </w:p>
          <w:p w14:paraId="21FF676F" w14:textId="5B66529F"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eastAsia="Times New Roman" w:hAnsi="Candara" w:cs="Times New Roman"/>
                <w:bCs/>
                <w:lang w:eastAsia="en-GB"/>
              </w:rPr>
              <w:t xml:space="preserve">Chronic Respiratory Disease Services </w:t>
            </w:r>
            <w:r w:rsidR="00692D03">
              <w:rPr>
                <w:rFonts w:ascii="Candara" w:eastAsia="Times New Roman" w:hAnsi="Candara" w:cs="Times New Roman"/>
                <w:bCs/>
                <w:lang w:eastAsia="en-GB"/>
              </w:rPr>
              <w:t>we</w:t>
            </w:r>
            <w:r w:rsidRPr="0016235B">
              <w:rPr>
                <w:rFonts w:ascii="Candara" w:eastAsia="Times New Roman" w:hAnsi="Candara" w:cs="Times New Roman"/>
                <w:bCs/>
                <w:lang w:eastAsia="en-GB"/>
              </w:rPr>
              <w:t>re more</w:t>
            </w:r>
            <w:r w:rsidRPr="0016235B">
              <w:rPr>
                <w:rFonts w:ascii="Candara" w:hAnsi="Candara" w:cs="Times New Roman"/>
              </w:rPr>
              <w:t xml:space="preserve"> available in the rural areas (74%) than in urban areas (68%)</w:t>
            </w:r>
          </w:p>
          <w:p w14:paraId="6940A76D" w14:textId="2F70968D"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All facilities in Mid-East and Mid-North provide</w:t>
            </w:r>
            <w:r w:rsidR="00692D03">
              <w:rPr>
                <w:rFonts w:ascii="Candara" w:hAnsi="Candara" w:cs="Times New Roman"/>
              </w:rPr>
              <w:t>d</w:t>
            </w:r>
            <w:r w:rsidRPr="0016235B">
              <w:rPr>
                <w:rFonts w:ascii="Candara" w:hAnsi="Candara" w:cs="Times New Roman"/>
              </w:rPr>
              <w:t xml:space="preserve"> </w:t>
            </w:r>
            <w:r w:rsidRPr="0016235B">
              <w:rPr>
                <w:rFonts w:ascii="Candara" w:eastAsia="Times New Roman" w:hAnsi="Candara" w:cs="Times New Roman"/>
                <w:bCs/>
                <w:lang w:eastAsia="en-GB"/>
              </w:rPr>
              <w:t>Chronic Respiratory Disease Services</w:t>
            </w:r>
            <w:r w:rsidRPr="0016235B">
              <w:rPr>
                <w:rFonts w:ascii="Candara" w:hAnsi="Candara" w:cs="Times New Roman"/>
              </w:rPr>
              <w:t xml:space="preserve"> while these services </w:t>
            </w:r>
            <w:r w:rsidR="00692D03">
              <w:rPr>
                <w:rFonts w:ascii="Candara" w:hAnsi="Candara" w:cs="Times New Roman"/>
              </w:rPr>
              <w:t>we</w:t>
            </w:r>
            <w:r w:rsidRPr="0016235B">
              <w:rPr>
                <w:rFonts w:ascii="Candara" w:hAnsi="Candara" w:cs="Times New Roman"/>
              </w:rPr>
              <w:t>re in only 7% of facilities in the Karamoja region</w:t>
            </w:r>
          </w:p>
        </w:tc>
      </w:tr>
    </w:tbl>
    <w:p w14:paraId="12C92024" w14:textId="77777777" w:rsidR="00A04F75" w:rsidRPr="0016235B" w:rsidRDefault="00A04F75" w:rsidP="00A04F75">
      <w:pPr>
        <w:pStyle w:val="ListParagraph"/>
        <w:rPr>
          <w:rFonts w:ascii="Candara" w:hAnsi="Candara" w:cs="Times New Roman"/>
        </w:rPr>
      </w:pPr>
    </w:p>
    <w:p w14:paraId="437C54F2" w14:textId="0128DDE3" w:rsidR="00524A06" w:rsidRPr="0016235B" w:rsidRDefault="00717B40" w:rsidP="005722F2">
      <w:pPr>
        <w:pStyle w:val="Heading2"/>
        <w:numPr>
          <w:ilvl w:val="1"/>
          <w:numId w:val="25"/>
        </w:numPr>
        <w:rPr>
          <w:rFonts w:ascii="Candara" w:hAnsi="Candara"/>
          <w:b/>
          <w:sz w:val="28"/>
          <w:szCs w:val="28"/>
        </w:rPr>
      </w:pPr>
      <w:bookmarkStart w:id="37" w:name="_Toc11494050"/>
      <w:r w:rsidRPr="0016235B">
        <w:rPr>
          <w:rFonts w:ascii="Candara" w:hAnsi="Candara"/>
          <w:b/>
          <w:sz w:val="28"/>
          <w:szCs w:val="28"/>
        </w:rPr>
        <w:t>Readiness to provide components under NCD Services</w:t>
      </w:r>
      <w:bookmarkEnd w:id="37"/>
    </w:p>
    <w:p w14:paraId="3B09C720" w14:textId="77777777" w:rsidR="00717B40" w:rsidRPr="0016235B" w:rsidRDefault="00717B40" w:rsidP="00672B04">
      <w:pPr>
        <w:spacing w:after="0" w:line="240" w:lineRule="auto"/>
        <w:jc w:val="both"/>
        <w:rPr>
          <w:rFonts w:ascii="Candara" w:eastAsia="Times New Roman" w:hAnsi="Candara" w:cs="Times New Roman"/>
          <w:bCs/>
          <w:lang w:eastAsia="en-GB"/>
        </w:rPr>
      </w:pPr>
    </w:p>
    <w:p w14:paraId="17D4F6FA" w14:textId="50C1D490" w:rsidR="00717B40" w:rsidRPr="0016235B" w:rsidRDefault="00717B40" w:rsidP="00672B04">
      <w:pPr>
        <w:spacing w:after="0" w:line="240" w:lineRule="auto"/>
        <w:jc w:val="both"/>
        <w:rPr>
          <w:rFonts w:ascii="Candara" w:eastAsia="Times New Roman" w:hAnsi="Candara" w:cs="Times New Roman"/>
          <w:bCs/>
          <w:sz w:val="24"/>
          <w:szCs w:val="24"/>
          <w:lang w:eastAsia="en-GB"/>
        </w:rPr>
      </w:pPr>
      <w:r w:rsidRPr="0016235B">
        <w:rPr>
          <w:rFonts w:ascii="Candara" w:hAnsi="Candara"/>
          <w:sz w:val="24"/>
          <w:szCs w:val="24"/>
        </w:rPr>
        <w:t>The readiness to provide components under NCDs corresponds to the availability (%) of the tracer items of the four domains (Staff and training, Equipment, Diagnostic capacity and Medicines and commodities) for the four types of NCDs assessed (diabetes, cardiovascular disease, cervical cancer and chronic respiratory disease).</w:t>
      </w:r>
    </w:p>
    <w:p w14:paraId="6D849E5D" w14:textId="77777777" w:rsidR="00672B04" w:rsidRPr="0016235B" w:rsidRDefault="00672B04" w:rsidP="00672B04">
      <w:pPr>
        <w:spacing w:after="0" w:line="240" w:lineRule="auto"/>
        <w:jc w:val="both"/>
        <w:rPr>
          <w:rFonts w:ascii="Candara" w:eastAsia="Times New Roman" w:hAnsi="Candara" w:cs="Times New Roman"/>
          <w:bCs/>
          <w:lang w:eastAsia="en-GB"/>
        </w:rPr>
      </w:pPr>
    </w:p>
    <w:p w14:paraId="4A459715" w14:textId="13FBE175" w:rsidR="001A6664" w:rsidRPr="0016235B" w:rsidRDefault="001A6664" w:rsidP="00993CFC">
      <w:pPr>
        <w:spacing w:after="0" w:line="240" w:lineRule="auto"/>
        <w:jc w:val="both"/>
        <w:rPr>
          <w:rFonts w:ascii="Candara" w:hAnsi="Candara"/>
          <w:b/>
          <w:sz w:val="28"/>
          <w:szCs w:val="28"/>
        </w:rPr>
      </w:pPr>
      <w:r w:rsidRPr="0016235B">
        <w:rPr>
          <w:rFonts w:ascii="Candara" w:hAnsi="Candara"/>
          <w:b/>
          <w:sz w:val="28"/>
          <w:szCs w:val="28"/>
        </w:rPr>
        <w:t>Cardiovascular disease</w:t>
      </w:r>
    </w:p>
    <w:p w14:paraId="2C1C6B71" w14:textId="11A043C0" w:rsidR="00672B04" w:rsidRPr="0016235B" w:rsidRDefault="00672B04" w:rsidP="00993CFC">
      <w:pPr>
        <w:spacing w:after="0" w:line="240" w:lineRule="auto"/>
        <w:jc w:val="both"/>
        <w:rPr>
          <w:rFonts w:ascii="Candara" w:hAnsi="Candara"/>
          <w:sz w:val="24"/>
          <w:szCs w:val="24"/>
        </w:rPr>
      </w:pPr>
      <w:r w:rsidRPr="0016235B">
        <w:rPr>
          <w:rFonts w:ascii="Candara" w:hAnsi="Candara"/>
          <w:sz w:val="24"/>
          <w:szCs w:val="24"/>
        </w:rPr>
        <w:t>Medicines and commodities</w:t>
      </w:r>
      <w:r w:rsidR="00F57F08" w:rsidRPr="0016235B">
        <w:rPr>
          <w:rFonts w:ascii="Candara" w:hAnsi="Candara"/>
          <w:sz w:val="24"/>
          <w:szCs w:val="24"/>
        </w:rPr>
        <w:t xml:space="preserve"> assessed for readiness of cardiovascular disease service included</w:t>
      </w:r>
      <w:r w:rsidR="00993CFC" w:rsidRPr="0016235B">
        <w:rPr>
          <w:rFonts w:ascii="Candara" w:hAnsi="Candara"/>
          <w:sz w:val="24"/>
          <w:szCs w:val="24"/>
        </w:rPr>
        <w:t xml:space="preserve"> </w:t>
      </w:r>
      <w:r w:rsidRPr="0016235B">
        <w:rPr>
          <w:rFonts w:ascii="Candara" w:hAnsi="Candara"/>
          <w:sz w:val="24"/>
          <w:szCs w:val="24"/>
        </w:rPr>
        <w:t xml:space="preserve">ACE inhibitors (e.g. enalapril), Hydrochlorothiazide tablet or other thiazide diuretic tablet, Beta blockers (e.g. atenolol), Calcium channel blockers (e.g. amlodipine), Aspirin cap/tabs, Furosemide, Spironolactone, </w:t>
      </w:r>
      <w:proofErr w:type="spellStart"/>
      <w:r w:rsidRPr="0016235B">
        <w:rPr>
          <w:rFonts w:ascii="Candara" w:hAnsi="Candara"/>
          <w:sz w:val="24"/>
          <w:szCs w:val="24"/>
        </w:rPr>
        <w:t>Glycerl</w:t>
      </w:r>
      <w:proofErr w:type="spellEnd"/>
      <w:r w:rsidRPr="0016235B">
        <w:rPr>
          <w:rFonts w:ascii="Candara" w:hAnsi="Candara"/>
          <w:sz w:val="24"/>
          <w:szCs w:val="24"/>
        </w:rPr>
        <w:t xml:space="preserve"> trinitrate sublingual, Isosorbide </w:t>
      </w:r>
      <w:proofErr w:type="spellStart"/>
      <w:r w:rsidRPr="0016235B">
        <w:rPr>
          <w:rFonts w:ascii="Candara" w:hAnsi="Candara"/>
          <w:sz w:val="24"/>
          <w:szCs w:val="24"/>
        </w:rPr>
        <w:t>dinitrat</w:t>
      </w:r>
      <w:proofErr w:type="spellEnd"/>
      <w:r w:rsidRPr="0016235B">
        <w:rPr>
          <w:rFonts w:ascii="Candara" w:hAnsi="Candara"/>
          <w:sz w:val="24"/>
          <w:szCs w:val="24"/>
        </w:rPr>
        <w:t xml:space="preserve"> and Simvastatin cap/tab</w:t>
      </w:r>
      <w:r w:rsidR="00993CFC" w:rsidRPr="0016235B">
        <w:rPr>
          <w:rFonts w:ascii="Candara" w:hAnsi="Candara"/>
          <w:sz w:val="24"/>
          <w:szCs w:val="24"/>
        </w:rPr>
        <w:t>.</w:t>
      </w:r>
    </w:p>
    <w:p w14:paraId="4C53E235" w14:textId="77777777" w:rsidR="00993CFC" w:rsidRPr="0016235B" w:rsidRDefault="00993CFC" w:rsidP="00993CFC">
      <w:pPr>
        <w:spacing w:after="0" w:line="240" w:lineRule="auto"/>
        <w:jc w:val="both"/>
        <w:rPr>
          <w:rFonts w:ascii="Candara" w:hAnsi="Candara"/>
          <w:sz w:val="24"/>
          <w:szCs w:val="24"/>
        </w:rPr>
      </w:pPr>
    </w:p>
    <w:p w14:paraId="28C85E5F" w14:textId="474C9D52" w:rsidR="00172F47" w:rsidRPr="0016235B" w:rsidRDefault="00993CFC" w:rsidP="00993CFC">
      <w:pPr>
        <w:tabs>
          <w:tab w:val="left" w:pos="720"/>
        </w:tabs>
        <w:spacing w:after="0" w:line="240" w:lineRule="auto"/>
        <w:jc w:val="both"/>
        <w:rPr>
          <w:rFonts w:ascii="Candara" w:hAnsi="Candara"/>
          <w:sz w:val="24"/>
          <w:szCs w:val="24"/>
        </w:rPr>
      </w:pPr>
      <w:r w:rsidRPr="0016235B">
        <w:rPr>
          <w:rFonts w:ascii="Candara" w:hAnsi="Candara"/>
          <w:sz w:val="24"/>
          <w:szCs w:val="24"/>
        </w:rPr>
        <w:t xml:space="preserve">Tracer equipment included </w:t>
      </w:r>
      <w:r w:rsidR="00172F47" w:rsidRPr="0016235B">
        <w:rPr>
          <w:rFonts w:ascii="Candara" w:hAnsi="Candara"/>
          <w:sz w:val="24"/>
          <w:szCs w:val="24"/>
        </w:rPr>
        <w:t>Stethoscope</w:t>
      </w:r>
      <w:r w:rsidRPr="0016235B">
        <w:rPr>
          <w:rFonts w:ascii="Candara" w:hAnsi="Candara"/>
          <w:sz w:val="24"/>
          <w:szCs w:val="24"/>
        </w:rPr>
        <w:t xml:space="preserve">, </w:t>
      </w:r>
      <w:r w:rsidR="00172F47" w:rsidRPr="0016235B">
        <w:rPr>
          <w:rFonts w:ascii="Candara" w:hAnsi="Candara"/>
          <w:sz w:val="24"/>
          <w:szCs w:val="24"/>
        </w:rPr>
        <w:t>Blood pressure apparatus</w:t>
      </w:r>
      <w:r w:rsidRPr="0016235B">
        <w:rPr>
          <w:rFonts w:ascii="Candara" w:hAnsi="Candara"/>
          <w:sz w:val="24"/>
          <w:szCs w:val="24"/>
        </w:rPr>
        <w:t xml:space="preserve">, </w:t>
      </w:r>
      <w:r w:rsidR="00172F47" w:rsidRPr="0016235B">
        <w:rPr>
          <w:rFonts w:ascii="Candara" w:hAnsi="Candara"/>
          <w:sz w:val="24"/>
          <w:szCs w:val="24"/>
        </w:rPr>
        <w:t>Adult scale</w:t>
      </w:r>
      <w:r w:rsidRPr="0016235B">
        <w:rPr>
          <w:rFonts w:ascii="Candara" w:hAnsi="Candara"/>
          <w:sz w:val="24"/>
          <w:szCs w:val="24"/>
        </w:rPr>
        <w:t xml:space="preserve"> and </w:t>
      </w:r>
      <w:r w:rsidR="00172F47" w:rsidRPr="0016235B">
        <w:rPr>
          <w:rFonts w:ascii="Candara" w:hAnsi="Candara"/>
          <w:sz w:val="24"/>
          <w:szCs w:val="24"/>
        </w:rPr>
        <w:t>Oxygen</w:t>
      </w:r>
      <w:r w:rsidRPr="0016235B">
        <w:rPr>
          <w:rFonts w:ascii="Candara" w:hAnsi="Candara"/>
          <w:sz w:val="24"/>
          <w:szCs w:val="24"/>
        </w:rPr>
        <w:t>.</w:t>
      </w:r>
    </w:p>
    <w:p w14:paraId="77DFDB68" w14:textId="6104D2F4" w:rsidR="00672B04" w:rsidRPr="0016235B" w:rsidRDefault="00672B04" w:rsidP="00672B04">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Percentage of facilities that have tracer items for cardiovascular disease services among facilities that provide this service (N=</w:t>
      </w:r>
      <w:r w:rsidR="00172F47" w:rsidRPr="0016235B">
        <w:rPr>
          <w:rFonts w:ascii="Candara" w:eastAsia="Times New Roman" w:hAnsi="Candara" w:cs="Times New Roman"/>
          <w:b/>
          <w:bCs/>
          <w:sz w:val="24"/>
          <w:szCs w:val="24"/>
          <w:lang w:eastAsia="en-GB"/>
        </w:rPr>
        <w:t>77</w:t>
      </w:r>
      <w:r w:rsidRPr="0016235B">
        <w:rPr>
          <w:rFonts w:ascii="Candara" w:eastAsia="Times New Roman" w:hAnsi="Candara" w:cs="Times New Roman"/>
          <w:b/>
          <w:bCs/>
          <w:sz w:val="24"/>
          <w:szCs w:val="24"/>
          <w:lang w:eastAsia="en-GB"/>
        </w:rPr>
        <w:t>)</w:t>
      </w:r>
    </w:p>
    <w:p w14:paraId="61F1177F" w14:textId="2463D93A" w:rsidR="00672B04" w:rsidRPr="0016235B" w:rsidRDefault="00172F47" w:rsidP="00672B04">
      <w:pPr>
        <w:spacing w:after="0" w:line="240" w:lineRule="auto"/>
        <w:jc w:val="both"/>
        <w:rPr>
          <w:rFonts w:ascii="Candara" w:eastAsia="Times New Roman" w:hAnsi="Candara" w:cs="Times New Roman"/>
          <w:b/>
          <w:bCs/>
          <w:lang w:eastAsia="en-GB"/>
        </w:rPr>
      </w:pPr>
      <w:r w:rsidRPr="0016235B">
        <w:rPr>
          <w:rFonts w:ascii="Candara" w:hAnsi="Candara"/>
          <w:noProof/>
        </w:rPr>
        <w:drawing>
          <wp:inline distT="0" distB="0" distL="0" distR="0" wp14:anchorId="25915E6A" wp14:editId="586FCC72">
            <wp:extent cx="5857875" cy="3533775"/>
            <wp:effectExtent l="0" t="0" r="9525" b="9525"/>
            <wp:docPr id="11" name="Chart 11">
              <a:extLst xmlns:a="http://schemas.openxmlformats.org/drawingml/2006/main">
                <a:ext uri="{FF2B5EF4-FFF2-40B4-BE49-F238E27FC236}">
                  <a16:creationId xmlns:a16="http://schemas.microsoft.com/office/drawing/2014/main" id="{D871D993-B6F3-4365-9DFC-2FECD20A78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791F4092" w14:textId="77777777" w:rsidR="00672B04" w:rsidRPr="0016235B" w:rsidRDefault="00672B04" w:rsidP="00672B04">
      <w:pPr>
        <w:spacing w:after="0" w:line="240" w:lineRule="auto"/>
        <w:jc w:val="both"/>
        <w:rPr>
          <w:rFonts w:ascii="Candara" w:eastAsia="Times New Roman" w:hAnsi="Candara" w:cs="Times New Roman"/>
          <w:bCs/>
          <w:lang w:eastAsia="en-GB"/>
        </w:rPr>
      </w:pPr>
    </w:p>
    <w:p w14:paraId="540309FA" w14:textId="77777777" w:rsidR="003F7F7F" w:rsidRPr="0016235B" w:rsidRDefault="003F7F7F" w:rsidP="00672B04">
      <w:pPr>
        <w:spacing w:after="0" w:line="240" w:lineRule="auto"/>
        <w:jc w:val="both"/>
        <w:rPr>
          <w:rFonts w:ascii="Candara" w:eastAsia="Times New Roman" w:hAnsi="Candara" w:cs="Times New Roman"/>
          <w:bCs/>
          <w:lang w:eastAsia="en-GB"/>
        </w:rPr>
      </w:pPr>
    </w:p>
    <w:p w14:paraId="3EFD0E49" w14:textId="185C8ED2" w:rsidR="00672B04" w:rsidRPr="0016235B" w:rsidRDefault="00672B04" w:rsidP="00672B04">
      <w:pPr>
        <w:spacing w:after="0" w:line="240" w:lineRule="auto"/>
        <w:jc w:val="both"/>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Percentage of facilities that have tracer items for cardiovascular disease services among facilities that provide this service, by equity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w:t>
      </w:r>
      <w:r w:rsidR="00172F47" w:rsidRPr="0016235B">
        <w:rPr>
          <w:rFonts w:ascii="Candara" w:eastAsia="Times New Roman" w:hAnsi="Candara" w:cs="Times New Roman"/>
          <w:b/>
          <w:bCs/>
          <w:sz w:val="24"/>
          <w:szCs w:val="24"/>
          <w:lang w:eastAsia="en-GB"/>
        </w:rPr>
        <w:t>77</w:t>
      </w:r>
      <w:r w:rsidRPr="0016235B">
        <w:rPr>
          <w:rFonts w:ascii="Candara" w:eastAsia="Times New Roman" w:hAnsi="Candara" w:cs="Times New Roman"/>
          <w:b/>
          <w:bCs/>
          <w:sz w:val="24"/>
          <w:szCs w:val="24"/>
          <w:lang w:eastAsia="en-GB"/>
        </w:rPr>
        <w:t>)</w:t>
      </w:r>
    </w:p>
    <w:p w14:paraId="0D19DA11" w14:textId="39929A0F" w:rsidR="00672B04" w:rsidRPr="0016235B" w:rsidRDefault="00172F47" w:rsidP="00672B04">
      <w:pPr>
        <w:jc w:val="both"/>
        <w:rPr>
          <w:rFonts w:ascii="Candara" w:hAnsi="Candara" w:cs="Times New Roman"/>
        </w:rPr>
      </w:pPr>
      <w:r w:rsidRPr="0016235B">
        <w:rPr>
          <w:rFonts w:ascii="Candara" w:hAnsi="Candara"/>
          <w:noProof/>
        </w:rPr>
        <w:lastRenderedPageBreak/>
        <w:drawing>
          <wp:inline distT="0" distB="0" distL="0" distR="0" wp14:anchorId="482CFE67" wp14:editId="223201D6">
            <wp:extent cx="5934075" cy="3943350"/>
            <wp:effectExtent l="0" t="0" r="9525" b="0"/>
            <wp:docPr id="14" name="Chart 14">
              <a:extLst xmlns:a="http://schemas.openxmlformats.org/drawingml/2006/main">
                <a:ext uri="{FF2B5EF4-FFF2-40B4-BE49-F238E27FC236}">
                  <a16:creationId xmlns:a16="http://schemas.microsoft.com/office/drawing/2014/main" id="{B3E7F50F-3C4E-4F5D-A7F3-136FDF1335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3FE38F42" w14:textId="77777777" w:rsidR="00D968B9" w:rsidRPr="0016235B" w:rsidRDefault="00D968B9" w:rsidP="00672B04">
      <w:pPr>
        <w:jc w:val="both"/>
        <w:rPr>
          <w:rFonts w:ascii="Candara" w:hAnsi="Candara" w:cs="Times New Roman"/>
        </w:rPr>
      </w:pPr>
    </w:p>
    <w:p w14:paraId="17FBB803" w14:textId="77777777" w:rsidR="00D968B9" w:rsidRPr="0016235B" w:rsidRDefault="00D968B9" w:rsidP="00672B04">
      <w:pPr>
        <w:jc w:val="both"/>
        <w:rPr>
          <w:rFonts w:ascii="Candara" w:hAnsi="Candara" w:cs="Times New Roman"/>
        </w:rPr>
      </w:pPr>
    </w:p>
    <w:tbl>
      <w:tblPr>
        <w:tblStyle w:val="TableGrid"/>
        <w:tblW w:w="9535" w:type="dxa"/>
        <w:tblLook w:val="04A0" w:firstRow="1" w:lastRow="0" w:firstColumn="1" w:lastColumn="0" w:noHBand="0" w:noVBand="1"/>
      </w:tblPr>
      <w:tblGrid>
        <w:gridCol w:w="9535"/>
      </w:tblGrid>
      <w:tr w:rsidR="000627A1" w:rsidRPr="0016235B" w14:paraId="53E66DE2" w14:textId="77777777" w:rsidTr="00244BC6">
        <w:trPr>
          <w:trHeight w:val="262"/>
        </w:trPr>
        <w:tc>
          <w:tcPr>
            <w:tcW w:w="9535" w:type="dxa"/>
          </w:tcPr>
          <w:p w14:paraId="08E4FDBA" w14:textId="77777777" w:rsidR="000627A1" w:rsidRPr="0016235B" w:rsidRDefault="000627A1" w:rsidP="00244BC6">
            <w:pPr>
              <w:rPr>
                <w:rFonts w:ascii="Candara" w:hAnsi="Candara"/>
                <w:b/>
              </w:rPr>
            </w:pPr>
            <w:r w:rsidRPr="0016235B">
              <w:rPr>
                <w:rFonts w:ascii="Candara" w:hAnsi="Candara"/>
                <w:b/>
              </w:rPr>
              <w:t>Key findings</w:t>
            </w:r>
          </w:p>
        </w:tc>
      </w:tr>
      <w:tr w:rsidR="000627A1" w:rsidRPr="0016235B" w14:paraId="0F8E10B0" w14:textId="77777777" w:rsidTr="00244BC6">
        <w:trPr>
          <w:trHeight w:val="2222"/>
        </w:trPr>
        <w:tc>
          <w:tcPr>
            <w:tcW w:w="9535" w:type="dxa"/>
          </w:tcPr>
          <w:p w14:paraId="4A126279" w14:textId="77777777" w:rsidR="000627A1" w:rsidRPr="0016235B" w:rsidRDefault="000627A1" w:rsidP="00244BC6">
            <w:pPr>
              <w:jc w:val="both"/>
              <w:rPr>
                <w:rFonts w:ascii="Candara" w:hAnsi="Candara" w:cs="Times New Roman"/>
                <w:b/>
              </w:rPr>
            </w:pPr>
          </w:p>
          <w:p w14:paraId="3E58A0F6" w14:textId="77777777"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Of the facilities providing cardiovascular diseases services, only 4% had all the tracer items</w:t>
            </w:r>
          </w:p>
          <w:p w14:paraId="6923D182" w14:textId="77777777"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 xml:space="preserve">On average, facilities had 7 of the 16 tracer items (43%) </w:t>
            </w:r>
          </w:p>
          <w:p w14:paraId="1E2967C2" w14:textId="77777777"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All medicines, except calcium channel blocker, were available in under half of the facilities</w:t>
            </w:r>
          </w:p>
          <w:p w14:paraId="357E36CC" w14:textId="5F929F01"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 xml:space="preserve">Availability of equipment items </w:t>
            </w:r>
            <w:r w:rsidR="008F107D">
              <w:rPr>
                <w:rFonts w:ascii="Candara" w:hAnsi="Candara" w:cs="Times New Roman"/>
              </w:rPr>
              <w:t xml:space="preserve">was as follows; </w:t>
            </w:r>
            <w:r w:rsidRPr="0016235B">
              <w:rPr>
                <w:rFonts w:ascii="Candara" w:hAnsi="Candara" w:cs="Times New Roman"/>
              </w:rPr>
              <w:t>Stethoscope 94%, blood pressure machine 92%</w:t>
            </w:r>
            <w:r w:rsidR="008F107D">
              <w:rPr>
                <w:rFonts w:ascii="Candara" w:hAnsi="Candara" w:cs="Times New Roman"/>
              </w:rPr>
              <w:t xml:space="preserve"> and </w:t>
            </w:r>
            <w:r w:rsidRPr="0016235B">
              <w:rPr>
                <w:rFonts w:ascii="Candara" w:hAnsi="Candara" w:cs="Times New Roman"/>
              </w:rPr>
              <w:t>adult weighing scale 83%</w:t>
            </w:r>
          </w:p>
          <w:p w14:paraId="4609083A" w14:textId="77777777"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 xml:space="preserve">Only a third (30%) of the facilities had staff trained on cardiovascular diseases and a further 41% had guidelines </w:t>
            </w:r>
          </w:p>
          <w:p w14:paraId="423F402F" w14:textId="78E53B4E" w:rsidR="000627A1" w:rsidRPr="0016235B" w:rsidRDefault="000627A1" w:rsidP="006F323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Central 1 ha</w:t>
            </w:r>
            <w:r w:rsidR="008F107D">
              <w:rPr>
                <w:rFonts w:ascii="Candara" w:hAnsi="Candara" w:cs="Times New Roman"/>
              </w:rPr>
              <w:t>d</w:t>
            </w:r>
            <w:r w:rsidRPr="0016235B">
              <w:rPr>
                <w:rFonts w:ascii="Candara" w:hAnsi="Candara" w:cs="Times New Roman"/>
              </w:rPr>
              <w:t xml:space="preserve"> the highest percent of facilities (83%) with equipment for cardiovascular diagnosis </w:t>
            </w:r>
            <w:r w:rsidR="008F107D">
              <w:rPr>
                <w:rFonts w:ascii="Candara" w:hAnsi="Candara" w:cs="Times New Roman"/>
              </w:rPr>
              <w:t>&amp;</w:t>
            </w:r>
            <w:r w:rsidRPr="0016235B">
              <w:rPr>
                <w:rFonts w:ascii="Candara" w:hAnsi="Candara" w:cs="Times New Roman"/>
              </w:rPr>
              <w:t xml:space="preserve"> management and the lowest </w:t>
            </w:r>
            <w:r w:rsidR="008F107D">
              <w:rPr>
                <w:rFonts w:ascii="Candara" w:hAnsi="Candara" w:cs="Times New Roman"/>
              </w:rPr>
              <w:t>was</w:t>
            </w:r>
            <w:r w:rsidRPr="0016235B">
              <w:rPr>
                <w:rFonts w:ascii="Candara" w:hAnsi="Candara" w:cs="Times New Roman"/>
              </w:rPr>
              <w:t xml:space="preserve"> North-East (54%)</w:t>
            </w:r>
          </w:p>
        </w:tc>
      </w:tr>
    </w:tbl>
    <w:p w14:paraId="56E1052D" w14:textId="77777777" w:rsidR="0093462F" w:rsidRPr="0016235B" w:rsidRDefault="0093462F" w:rsidP="00672B04">
      <w:pPr>
        <w:rPr>
          <w:rFonts w:ascii="Candara" w:hAnsi="Candara" w:cs="Times New Roman"/>
        </w:rPr>
      </w:pPr>
    </w:p>
    <w:p w14:paraId="5F03ECAE" w14:textId="263E2EFC" w:rsidR="00D729B1" w:rsidRPr="0016235B" w:rsidRDefault="00D729B1" w:rsidP="00672B04">
      <w:pPr>
        <w:rPr>
          <w:rFonts w:ascii="Candara" w:hAnsi="Candara" w:cs="Times New Roman"/>
          <w:b/>
          <w:sz w:val="28"/>
          <w:szCs w:val="28"/>
        </w:rPr>
      </w:pPr>
      <w:r w:rsidRPr="0016235B">
        <w:rPr>
          <w:rFonts w:ascii="Candara" w:hAnsi="Candara"/>
          <w:b/>
          <w:sz w:val="28"/>
          <w:szCs w:val="28"/>
        </w:rPr>
        <w:t>Cervical cancer</w:t>
      </w:r>
    </w:p>
    <w:p w14:paraId="5132B6DA" w14:textId="02A7E845" w:rsidR="00672B04" w:rsidRPr="0016235B" w:rsidRDefault="00672B04" w:rsidP="003F7F7F">
      <w:pPr>
        <w:spacing w:after="0" w:line="240" w:lineRule="auto"/>
        <w:jc w:val="both"/>
        <w:rPr>
          <w:rFonts w:ascii="Candara" w:hAnsi="Candara"/>
          <w:sz w:val="24"/>
          <w:szCs w:val="24"/>
        </w:rPr>
      </w:pPr>
      <w:r w:rsidRPr="0016235B">
        <w:rPr>
          <w:rFonts w:ascii="Candara" w:hAnsi="Candara"/>
          <w:sz w:val="24"/>
          <w:szCs w:val="24"/>
        </w:rPr>
        <w:t xml:space="preserve">Tracer items assessed for cervical </w:t>
      </w:r>
      <w:r w:rsidR="003F7F7F" w:rsidRPr="0016235B">
        <w:rPr>
          <w:rFonts w:ascii="Candara" w:hAnsi="Candara"/>
          <w:sz w:val="24"/>
          <w:szCs w:val="24"/>
        </w:rPr>
        <w:t xml:space="preserve">cancer </w:t>
      </w:r>
      <w:r w:rsidRPr="0016235B">
        <w:rPr>
          <w:rFonts w:ascii="Candara" w:hAnsi="Candara"/>
          <w:sz w:val="24"/>
          <w:szCs w:val="24"/>
        </w:rPr>
        <w:t>service</w:t>
      </w:r>
      <w:r w:rsidR="003F7F7F" w:rsidRPr="0016235B">
        <w:rPr>
          <w:rFonts w:ascii="Candara" w:hAnsi="Candara"/>
          <w:sz w:val="24"/>
          <w:szCs w:val="24"/>
        </w:rPr>
        <w:t>s</w:t>
      </w:r>
      <w:r w:rsidRPr="0016235B">
        <w:rPr>
          <w:rFonts w:ascii="Candara" w:hAnsi="Candara"/>
          <w:sz w:val="24"/>
          <w:szCs w:val="24"/>
        </w:rPr>
        <w:t xml:space="preserve"> include</w:t>
      </w:r>
      <w:r w:rsidR="003F7F7F" w:rsidRPr="0016235B">
        <w:rPr>
          <w:rFonts w:ascii="Candara" w:hAnsi="Candara"/>
          <w:sz w:val="24"/>
          <w:szCs w:val="24"/>
        </w:rPr>
        <w:t>d</w:t>
      </w:r>
      <w:r w:rsidRPr="0016235B">
        <w:rPr>
          <w:rFonts w:ascii="Candara" w:hAnsi="Candara"/>
          <w:sz w:val="24"/>
          <w:szCs w:val="24"/>
        </w:rPr>
        <w:t xml:space="preserve"> </w:t>
      </w:r>
      <w:r w:rsidR="003F7F7F" w:rsidRPr="0016235B">
        <w:rPr>
          <w:rFonts w:ascii="Candara" w:hAnsi="Candara"/>
          <w:sz w:val="24"/>
          <w:szCs w:val="24"/>
        </w:rPr>
        <w:t>t</w:t>
      </w:r>
      <w:r w:rsidRPr="0016235B">
        <w:rPr>
          <w:rFonts w:ascii="Candara" w:hAnsi="Candara"/>
          <w:sz w:val="24"/>
          <w:szCs w:val="24"/>
        </w:rPr>
        <w:t>rained staff, Acetic acid and speculum.</w:t>
      </w:r>
    </w:p>
    <w:p w14:paraId="219DA463" w14:textId="77777777" w:rsidR="00672B04" w:rsidRPr="0016235B" w:rsidRDefault="00672B04" w:rsidP="00672B04">
      <w:pPr>
        <w:spacing w:after="0" w:line="240" w:lineRule="auto"/>
        <w:rPr>
          <w:rFonts w:ascii="Candara" w:eastAsia="Times New Roman" w:hAnsi="Candara" w:cs="Times New Roman"/>
          <w:bCs/>
          <w:lang w:eastAsia="en-GB"/>
        </w:rPr>
      </w:pPr>
    </w:p>
    <w:p w14:paraId="37B81F9D" w14:textId="7D50F2A8" w:rsidR="00672B04"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Percentage of facilities that have tracer items for cervical cancer services among facilities that provide this service (N=</w:t>
      </w:r>
      <w:r w:rsidR="003F7F7F" w:rsidRPr="0016235B">
        <w:rPr>
          <w:rFonts w:ascii="Candara" w:eastAsia="Times New Roman" w:hAnsi="Candara" w:cs="Times New Roman"/>
          <w:b/>
          <w:bCs/>
          <w:sz w:val="24"/>
          <w:szCs w:val="24"/>
          <w:lang w:eastAsia="en-GB"/>
        </w:rPr>
        <w:t>28</w:t>
      </w:r>
      <w:r w:rsidRPr="0016235B">
        <w:rPr>
          <w:rFonts w:ascii="Candara" w:eastAsia="Times New Roman" w:hAnsi="Candara" w:cs="Times New Roman"/>
          <w:b/>
          <w:bCs/>
          <w:sz w:val="24"/>
          <w:szCs w:val="24"/>
          <w:lang w:eastAsia="en-GB"/>
        </w:rPr>
        <w:t>)</w:t>
      </w:r>
    </w:p>
    <w:p w14:paraId="2DA1A5F9" w14:textId="45A32502" w:rsidR="00672B04" w:rsidRPr="0016235B" w:rsidRDefault="003F7F7F" w:rsidP="00672B04">
      <w:pPr>
        <w:rPr>
          <w:rFonts w:ascii="Candara" w:hAnsi="Candara" w:cs="Times New Roman"/>
        </w:rPr>
      </w:pPr>
      <w:r w:rsidRPr="0016235B">
        <w:rPr>
          <w:rFonts w:ascii="Candara" w:hAnsi="Candara"/>
          <w:noProof/>
        </w:rPr>
        <w:lastRenderedPageBreak/>
        <w:drawing>
          <wp:inline distT="0" distB="0" distL="0" distR="0" wp14:anchorId="1ECF9685" wp14:editId="44FFD0E3">
            <wp:extent cx="5400675" cy="3124200"/>
            <wp:effectExtent l="0" t="0" r="9525" b="0"/>
            <wp:docPr id="19" name="Chart 19">
              <a:extLst xmlns:a="http://schemas.openxmlformats.org/drawingml/2006/main">
                <a:ext uri="{FF2B5EF4-FFF2-40B4-BE49-F238E27FC236}">
                  <a16:creationId xmlns:a16="http://schemas.microsoft.com/office/drawing/2014/main" id="{D05D477F-2CB1-4B9A-8384-01994C87DE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773FA70B" w14:textId="77777777" w:rsidR="005D2E87" w:rsidRPr="0016235B" w:rsidRDefault="005D2E87" w:rsidP="00672B04">
      <w:pPr>
        <w:spacing w:after="0" w:line="240" w:lineRule="auto"/>
        <w:rPr>
          <w:rFonts w:ascii="Candara" w:eastAsia="Times New Roman" w:hAnsi="Candara" w:cs="Times New Roman"/>
          <w:bCs/>
          <w:lang w:eastAsia="en-GB"/>
        </w:rPr>
      </w:pPr>
    </w:p>
    <w:p w14:paraId="6B511AEF" w14:textId="77777777" w:rsidR="00D274A2" w:rsidRPr="0016235B" w:rsidRDefault="00D274A2" w:rsidP="00D274A2">
      <w:pPr>
        <w:spacing w:after="0" w:line="240" w:lineRule="auto"/>
        <w:rPr>
          <w:rFonts w:ascii="Candara" w:eastAsia="Times New Roman" w:hAnsi="Candara" w:cs="Times New Roman"/>
          <w:bCs/>
          <w:lang w:eastAsia="en-GB"/>
        </w:rPr>
      </w:pPr>
    </w:p>
    <w:tbl>
      <w:tblPr>
        <w:tblStyle w:val="TableGrid"/>
        <w:tblW w:w="9535" w:type="dxa"/>
        <w:tblLook w:val="04A0" w:firstRow="1" w:lastRow="0" w:firstColumn="1" w:lastColumn="0" w:noHBand="0" w:noVBand="1"/>
      </w:tblPr>
      <w:tblGrid>
        <w:gridCol w:w="9535"/>
      </w:tblGrid>
      <w:tr w:rsidR="000627A1" w:rsidRPr="0016235B" w14:paraId="525843BE" w14:textId="77777777" w:rsidTr="00244BC6">
        <w:trPr>
          <w:trHeight w:val="262"/>
        </w:trPr>
        <w:tc>
          <w:tcPr>
            <w:tcW w:w="9535" w:type="dxa"/>
          </w:tcPr>
          <w:p w14:paraId="353877CA" w14:textId="77777777" w:rsidR="000627A1" w:rsidRPr="0016235B" w:rsidRDefault="000627A1" w:rsidP="00244BC6">
            <w:pPr>
              <w:rPr>
                <w:rFonts w:ascii="Candara" w:hAnsi="Candara"/>
                <w:b/>
              </w:rPr>
            </w:pPr>
            <w:r w:rsidRPr="0016235B">
              <w:rPr>
                <w:rFonts w:ascii="Candara" w:hAnsi="Candara"/>
                <w:b/>
              </w:rPr>
              <w:t>Key findings</w:t>
            </w:r>
          </w:p>
        </w:tc>
      </w:tr>
      <w:tr w:rsidR="000627A1" w:rsidRPr="0016235B" w14:paraId="2628863A" w14:textId="77777777" w:rsidTr="00244BC6">
        <w:trPr>
          <w:trHeight w:val="2222"/>
        </w:trPr>
        <w:tc>
          <w:tcPr>
            <w:tcW w:w="9535" w:type="dxa"/>
          </w:tcPr>
          <w:p w14:paraId="1F2BB52E" w14:textId="77777777" w:rsidR="000627A1" w:rsidRPr="0016235B" w:rsidRDefault="000627A1" w:rsidP="00244BC6">
            <w:pPr>
              <w:jc w:val="both"/>
              <w:rPr>
                <w:rFonts w:ascii="Candara" w:hAnsi="Candara" w:cs="Times New Roman"/>
                <w:b/>
              </w:rPr>
            </w:pPr>
          </w:p>
          <w:p w14:paraId="6AD2616D" w14:textId="77777777"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eastAsia="Times New Roman" w:hAnsi="Candara" w:cs="Times New Roman"/>
                <w:bCs/>
                <w:lang w:eastAsia="en-GB"/>
              </w:rPr>
              <w:t xml:space="preserve">All facilities that provided cervical cancer diagnosis services </w:t>
            </w:r>
            <w:r w:rsidRPr="0016235B">
              <w:rPr>
                <w:rFonts w:ascii="Candara" w:hAnsi="Candara" w:cs="Times New Roman"/>
              </w:rPr>
              <w:t xml:space="preserve">had trained staff and nearly all Speculum (99%), while 93% had Acetic acid </w:t>
            </w:r>
          </w:p>
          <w:p w14:paraId="23F089E3" w14:textId="41F95132"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Amongst facilities that offer</w:t>
            </w:r>
            <w:r w:rsidR="008F107D">
              <w:rPr>
                <w:rFonts w:ascii="Candara" w:hAnsi="Candara" w:cs="Times New Roman"/>
              </w:rPr>
              <w:t>ed</w:t>
            </w:r>
            <w:r w:rsidRPr="0016235B">
              <w:rPr>
                <w:rFonts w:ascii="Candara" w:hAnsi="Candara" w:cs="Times New Roman"/>
              </w:rPr>
              <w:t xml:space="preserve"> cervical cancer services, </w:t>
            </w:r>
            <w:r w:rsidR="008F107D">
              <w:rPr>
                <w:rFonts w:ascii="Candara" w:hAnsi="Candara" w:cs="Times New Roman"/>
              </w:rPr>
              <w:t xml:space="preserve">almost </w:t>
            </w:r>
            <w:r w:rsidRPr="0016235B">
              <w:rPr>
                <w:rFonts w:ascii="Candara" w:hAnsi="Candara" w:cs="Times New Roman"/>
              </w:rPr>
              <w:t>half (49%) had all the tracer items</w:t>
            </w:r>
          </w:p>
          <w:p w14:paraId="5DE68388" w14:textId="77777777"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All facilities in the Mid-West had the tracer items while none of the facilities in the Mid- North had the tracer items</w:t>
            </w:r>
          </w:p>
          <w:p w14:paraId="0F0DF97A" w14:textId="6BEB7EB8" w:rsidR="000627A1" w:rsidRPr="0016235B" w:rsidRDefault="000627A1" w:rsidP="005722F2">
            <w:pPr>
              <w:pStyle w:val="ListParagraph"/>
              <w:numPr>
                <w:ilvl w:val="0"/>
                <w:numId w:val="20"/>
              </w:numPr>
              <w:spacing w:after="120" w:line="264" w:lineRule="auto"/>
              <w:jc w:val="both"/>
              <w:rPr>
                <w:rFonts w:ascii="Candara" w:hAnsi="Candara" w:cs="Times New Roman"/>
              </w:rPr>
            </w:pPr>
            <w:r w:rsidRPr="0016235B">
              <w:rPr>
                <w:rFonts w:ascii="Candara" w:hAnsi="Candara" w:cs="Times New Roman"/>
              </w:rPr>
              <w:t>Only 25% of the HC IV assessed had the tracer items, 44% of public facilities had tracer items compared to 23% of private facilities</w:t>
            </w:r>
          </w:p>
        </w:tc>
      </w:tr>
    </w:tbl>
    <w:p w14:paraId="08F7DA8E" w14:textId="31F9B65B" w:rsidR="008530A0" w:rsidRPr="0016235B" w:rsidRDefault="008530A0" w:rsidP="008530A0">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Percentage of facilities with tracer items for cervical cancer screening,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(N=28)</w:t>
      </w:r>
    </w:p>
    <w:p w14:paraId="27883289" w14:textId="5BBE0410" w:rsidR="008530A0" w:rsidRPr="0016235B" w:rsidRDefault="008530A0" w:rsidP="008530A0">
      <w:pPr>
        <w:spacing w:after="0" w:line="240" w:lineRule="auto"/>
        <w:rPr>
          <w:rFonts w:ascii="Candara" w:eastAsia="Times New Roman" w:hAnsi="Candara" w:cs="Times New Roman"/>
          <w:bCs/>
          <w:lang w:eastAsia="en-GB"/>
        </w:rPr>
      </w:pPr>
      <w:r w:rsidRPr="0016235B">
        <w:rPr>
          <w:rFonts w:ascii="Candara" w:hAnsi="Candara"/>
          <w:noProof/>
        </w:rPr>
        <w:lastRenderedPageBreak/>
        <w:drawing>
          <wp:inline distT="0" distB="0" distL="0" distR="0" wp14:anchorId="23AEC1BD" wp14:editId="753254E1">
            <wp:extent cx="5867400" cy="3905250"/>
            <wp:effectExtent l="0" t="0" r="0" b="0"/>
            <wp:docPr id="24" name="Chart 24">
              <a:extLst xmlns:a="http://schemas.openxmlformats.org/drawingml/2006/main">
                <a:ext uri="{FF2B5EF4-FFF2-40B4-BE49-F238E27FC236}">
                  <a16:creationId xmlns:a16="http://schemas.microsoft.com/office/drawing/2014/main" id="{697F3ACA-548C-4233-BE73-FFE042977A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338E2CB0" w14:textId="63148551" w:rsidR="00672B04" w:rsidRPr="0016235B" w:rsidRDefault="00672B04" w:rsidP="00672B04">
      <w:pPr>
        <w:rPr>
          <w:rFonts w:ascii="Candara" w:hAnsi="Candara" w:cs="Times New Roman"/>
        </w:rPr>
      </w:pPr>
    </w:p>
    <w:p w14:paraId="0FD1C6E8" w14:textId="77777777" w:rsidR="00672B04" w:rsidRPr="0016235B" w:rsidRDefault="00672B04" w:rsidP="00672B04">
      <w:pPr>
        <w:spacing w:after="0" w:line="240" w:lineRule="auto"/>
        <w:rPr>
          <w:rFonts w:ascii="Candara" w:eastAsia="Times New Roman" w:hAnsi="Candara" w:cs="Times New Roman"/>
          <w:bCs/>
          <w:lang w:eastAsia="en-GB"/>
        </w:rPr>
      </w:pPr>
    </w:p>
    <w:p w14:paraId="2ECFA6EA" w14:textId="77777777" w:rsidR="00D729B1" w:rsidRPr="0016235B" w:rsidRDefault="00D729B1" w:rsidP="00D729B1">
      <w:pPr>
        <w:tabs>
          <w:tab w:val="left" w:pos="1830"/>
        </w:tabs>
        <w:jc w:val="both"/>
        <w:rPr>
          <w:rFonts w:ascii="Candara" w:hAnsi="Candara"/>
          <w:b/>
          <w:sz w:val="28"/>
          <w:szCs w:val="28"/>
        </w:rPr>
      </w:pPr>
      <w:r w:rsidRPr="0016235B">
        <w:rPr>
          <w:rFonts w:ascii="Candara" w:hAnsi="Candara"/>
          <w:b/>
          <w:sz w:val="28"/>
          <w:szCs w:val="28"/>
        </w:rPr>
        <w:t>Diabetes</w:t>
      </w:r>
    </w:p>
    <w:p w14:paraId="6F43285C" w14:textId="14BE0D37" w:rsidR="00D729B1" w:rsidRPr="0016235B" w:rsidRDefault="00D729B1" w:rsidP="008F107D">
      <w:pPr>
        <w:tabs>
          <w:tab w:val="left" w:pos="1830"/>
        </w:tabs>
        <w:spacing w:line="276" w:lineRule="auto"/>
        <w:jc w:val="both"/>
        <w:rPr>
          <w:rFonts w:ascii="Candara" w:hAnsi="Candara"/>
          <w:sz w:val="24"/>
          <w:szCs w:val="24"/>
        </w:rPr>
      </w:pPr>
      <w:r w:rsidRPr="0016235B">
        <w:rPr>
          <w:rFonts w:ascii="Candara" w:hAnsi="Candara"/>
          <w:sz w:val="24"/>
          <w:szCs w:val="24"/>
        </w:rPr>
        <w:t xml:space="preserve">Diabetes disease burden has raised by 100% in the last 2 decades. For this </w:t>
      </w:r>
      <w:r w:rsidR="006F3232" w:rsidRPr="0016235B">
        <w:rPr>
          <w:rFonts w:ascii="Candara" w:hAnsi="Candara"/>
          <w:sz w:val="24"/>
          <w:szCs w:val="24"/>
        </w:rPr>
        <w:t>reason,</w:t>
      </w:r>
      <w:r w:rsidRPr="0016235B">
        <w:rPr>
          <w:rFonts w:ascii="Candara" w:hAnsi="Candara"/>
          <w:sz w:val="24"/>
          <w:szCs w:val="24"/>
        </w:rPr>
        <w:t xml:space="preserve"> the ministry of health set </w:t>
      </w:r>
      <w:r w:rsidR="006F3232">
        <w:rPr>
          <w:rFonts w:ascii="Candara" w:hAnsi="Candara"/>
          <w:sz w:val="24"/>
          <w:szCs w:val="24"/>
        </w:rPr>
        <w:t>up</w:t>
      </w:r>
      <w:r w:rsidRPr="0016235B">
        <w:rPr>
          <w:rFonts w:ascii="Candara" w:hAnsi="Candara"/>
          <w:sz w:val="24"/>
          <w:szCs w:val="24"/>
        </w:rPr>
        <w:t xml:space="preserve"> a comprehensive program as part of the Health </w:t>
      </w:r>
      <w:r w:rsidR="006F3232">
        <w:rPr>
          <w:rFonts w:ascii="Candara" w:hAnsi="Candara"/>
          <w:sz w:val="24"/>
          <w:szCs w:val="24"/>
        </w:rPr>
        <w:t>S</w:t>
      </w:r>
      <w:r w:rsidRPr="0016235B">
        <w:rPr>
          <w:rFonts w:ascii="Candara" w:hAnsi="Candara"/>
          <w:sz w:val="24"/>
          <w:szCs w:val="24"/>
        </w:rPr>
        <w:t xml:space="preserve">ector </w:t>
      </w:r>
      <w:r w:rsidR="006F3232">
        <w:rPr>
          <w:rFonts w:ascii="Candara" w:hAnsi="Candara"/>
          <w:sz w:val="24"/>
          <w:szCs w:val="24"/>
        </w:rPr>
        <w:t>D</w:t>
      </w:r>
      <w:r w:rsidRPr="0016235B">
        <w:rPr>
          <w:rFonts w:ascii="Candara" w:hAnsi="Candara"/>
          <w:sz w:val="24"/>
          <w:szCs w:val="24"/>
        </w:rPr>
        <w:t xml:space="preserve">evelopment </w:t>
      </w:r>
      <w:r w:rsidR="006F3232">
        <w:rPr>
          <w:rFonts w:ascii="Candara" w:hAnsi="Candara"/>
          <w:sz w:val="24"/>
          <w:szCs w:val="24"/>
        </w:rPr>
        <w:t>P</w:t>
      </w:r>
      <w:r w:rsidRPr="0016235B">
        <w:rPr>
          <w:rFonts w:ascii="Candara" w:hAnsi="Candara"/>
          <w:sz w:val="24"/>
          <w:szCs w:val="24"/>
        </w:rPr>
        <w:t xml:space="preserve">lan 2016/17 t0 2019/20 targeting the disease. </w:t>
      </w:r>
    </w:p>
    <w:p w14:paraId="7E704AF4" w14:textId="1793F2FB" w:rsidR="00D729B1" w:rsidRPr="006F3232" w:rsidRDefault="00D729B1" w:rsidP="008F107D">
      <w:pPr>
        <w:tabs>
          <w:tab w:val="left" w:pos="720"/>
        </w:tabs>
        <w:spacing w:after="0" w:line="276" w:lineRule="auto"/>
        <w:jc w:val="both"/>
        <w:rPr>
          <w:rFonts w:ascii="Candara" w:hAnsi="Candara"/>
          <w:sz w:val="24"/>
          <w:szCs w:val="24"/>
        </w:rPr>
      </w:pPr>
      <w:r w:rsidRPr="006F3232">
        <w:rPr>
          <w:rFonts w:ascii="Candara" w:hAnsi="Candara"/>
          <w:sz w:val="24"/>
          <w:szCs w:val="24"/>
        </w:rPr>
        <w:t xml:space="preserve">Tracer items required for service delivery included in the assessment were; Trained staff and guidelines for diabetes diagnosis and treatment, </w:t>
      </w:r>
      <w:r w:rsidR="008F107D" w:rsidRPr="006F3232">
        <w:rPr>
          <w:rFonts w:ascii="Candara" w:hAnsi="Candara"/>
          <w:sz w:val="24"/>
          <w:szCs w:val="24"/>
        </w:rPr>
        <w:t>Equipment; Adult</w:t>
      </w:r>
      <w:r w:rsidRPr="006F3232">
        <w:rPr>
          <w:rFonts w:ascii="Candara" w:hAnsi="Candara"/>
          <w:sz w:val="24"/>
          <w:szCs w:val="24"/>
        </w:rPr>
        <w:t xml:space="preserve"> scale, Measuring tape (height board/ </w:t>
      </w:r>
      <w:proofErr w:type="spellStart"/>
      <w:r w:rsidRPr="006F3232">
        <w:rPr>
          <w:rFonts w:ascii="Candara" w:hAnsi="Candara"/>
          <w:sz w:val="24"/>
          <w:szCs w:val="24"/>
        </w:rPr>
        <w:t>stadiometre</w:t>
      </w:r>
      <w:proofErr w:type="spellEnd"/>
      <w:r w:rsidRPr="006F3232">
        <w:rPr>
          <w:rFonts w:ascii="Candara" w:hAnsi="Candara"/>
          <w:sz w:val="24"/>
          <w:szCs w:val="24"/>
        </w:rPr>
        <w:t xml:space="preserve">), Diagnostic; Blood glucose, Urine dipstick- protein, Urine dipstick- ketones, Medicines and commodities; Metformin cap/tab, </w:t>
      </w:r>
      <w:proofErr w:type="spellStart"/>
      <w:r w:rsidRPr="006F3232">
        <w:rPr>
          <w:rFonts w:ascii="Candara" w:hAnsi="Candara"/>
          <w:sz w:val="24"/>
          <w:szCs w:val="24"/>
        </w:rPr>
        <w:t>Glibenclamide</w:t>
      </w:r>
      <w:proofErr w:type="spellEnd"/>
      <w:r w:rsidRPr="006F3232">
        <w:rPr>
          <w:rFonts w:ascii="Candara" w:hAnsi="Candara"/>
          <w:sz w:val="24"/>
          <w:szCs w:val="24"/>
        </w:rPr>
        <w:t xml:space="preserve"> cap/tab, Insulin </w:t>
      </w:r>
      <w:proofErr w:type="spellStart"/>
      <w:r w:rsidRPr="006F3232">
        <w:rPr>
          <w:rFonts w:ascii="Candara" w:hAnsi="Candara"/>
          <w:sz w:val="24"/>
          <w:szCs w:val="24"/>
        </w:rPr>
        <w:t>regulart</w:t>
      </w:r>
      <w:proofErr w:type="spellEnd"/>
      <w:r w:rsidRPr="006F3232">
        <w:rPr>
          <w:rFonts w:ascii="Candara" w:hAnsi="Candara"/>
          <w:sz w:val="24"/>
          <w:szCs w:val="24"/>
        </w:rPr>
        <w:t xml:space="preserve"> injectable, Glucose 50% injectable, Gliclazide tablet or glipizide tablet.</w:t>
      </w:r>
    </w:p>
    <w:p w14:paraId="34F86475" w14:textId="77777777" w:rsidR="00D729B1" w:rsidRPr="0016235B" w:rsidRDefault="00D729B1" w:rsidP="00D729B1">
      <w:pPr>
        <w:tabs>
          <w:tab w:val="left" w:pos="720"/>
        </w:tabs>
        <w:spacing w:after="0" w:line="240" w:lineRule="auto"/>
        <w:ind w:left="720"/>
        <w:jc w:val="both"/>
        <w:rPr>
          <w:rFonts w:ascii="Candara" w:hAnsi="Candara"/>
          <w:sz w:val="20"/>
          <w:szCs w:val="20"/>
        </w:rPr>
      </w:pPr>
    </w:p>
    <w:p w14:paraId="3832B30C" w14:textId="77777777" w:rsidR="00D729B1" w:rsidRPr="0016235B" w:rsidRDefault="00D729B1" w:rsidP="00D729B1">
      <w:pPr>
        <w:tabs>
          <w:tab w:val="left" w:pos="720"/>
        </w:tabs>
        <w:spacing w:after="0" w:line="240" w:lineRule="auto"/>
        <w:ind w:left="720"/>
        <w:jc w:val="both"/>
        <w:rPr>
          <w:rFonts w:ascii="Candara" w:hAnsi="Candara"/>
          <w:sz w:val="20"/>
          <w:szCs w:val="20"/>
        </w:rPr>
      </w:pPr>
    </w:p>
    <w:p w14:paraId="35D27CC8" w14:textId="5FB3648A" w:rsidR="00D729B1" w:rsidRPr="0016235B" w:rsidRDefault="00D729B1" w:rsidP="00D729B1">
      <w:pPr>
        <w:tabs>
          <w:tab w:val="left" w:pos="1830"/>
        </w:tabs>
        <w:jc w:val="both"/>
        <w:rPr>
          <w:rFonts w:ascii="Candara" w:hAnsi="Candara"/>
          <w:sz w:val="20"/>
          <w:szCs w:val="20"/>
        </w:rPr>
      </w:pPr>
    </w:p>
    <w:p w14:paraId="6709C265" w14:textId="77777777" w:rsidR="00D729B1" w:rsidRPr="0016235B" w:rsidRDefault="00D729B1" w:rsidP="00D729B1">
      <w:pPr>
        <w:tabs>
          <w:tab w:val="left" w:pos="1830"/>
        </w:tabs>
        <w:jc w:val="both"/>
        <w:rPr>
          <w:rFonts w:ascii="Candara" w:hAnsi="Candara"/>
          <w:sz w:val="20"/>
          <w:szCs w:val="20"/>
        </w:rPr>
      </w:pPr>
    </w:p>
    <w:p w14:paraId="7C73904D" w14:textId="77777777" w:rsidR="00D729B1" w:rsidRPr="0016235B" w:rsidRDefault="00D729B1" w:rsidP="00D729B1">
      <w:pPr>
        <w:rPr>
          <w:rFonts w:ascii="Candara" w:hAnsi="Candara"/>
          <w:b/>
          <w:sz w:val="20"/>
          <w:szCs w:val="20"/>
        </w:rPr>
      </w:pPr>
      <w:r w:rsidRPr="0016235B">
        <w:rPr>
          <w:rFonts w:ascii="Candara" w:hAnsi="Candara"/>
          <w:b/>
          <w:sz w:val="20"/>
          <w:szCs w:val="20"/>
        </w:rPr>
        <w:br w:type="page"/>
      </w:r>
    </w:p>
    <w:p w14:paraId="7873E496" w14:textId="759A1F59" w:rsidR="00D729B1" w:rsidRPr="0016235B" w:rsidRDefault="00D729B1" w:rsidP="00D729B1">
      <w:pPr>
        <w:spacing w:after="0" w:line="240" w:lineRule="auto"/>
        <w:jc w:val="both"/>
        <w:rPr>
          <w:rFonts w:ascii="Candara" w:eastAsia="Times New Roman" w:hAnsi="Candara" w:cs="Calibri"/>
          <w:bCs/>
          <w:sz w:val="24"/>
          <w:szCs w:val="24"/>
        </w:rPr>
      </w:pPr>
      <w:r w:rsidRPr="0016235B">
        <w:rPr>
          <w:rFonts w:ascii="Candara" w:hAnsi="Candara"/>
          <w:b/>
          <w:sz w:val="24"/>
          <w:szCs w:val="24"/>
        </w:rPr>
        <w:lastRenderedPageBreak/>
        <w:t>Percentage of facilities that have tracer items for diabetes services among facilities that provide this service (N=56)</w:t>
      </w:r>
    </w:p>
    <w:p w14:paraId="11155032" w14:textId="4FD60D75" w:rsidR="00D729B1" w:rsidRPr="0016235B" w:rsidRDefault="00D729B1" w:rsidP="00D729B1">
      <w:pPr>
        <w:tabs>
          <w:tab w:val="left" w:pos="1830"/>
        </w:tabs>
        <w:jc w:val="both"/>
        <w:rPr>
          <w:rFonts w:ascii="Candara" w:hAnsi="Candara"/>
          <w:sz w:val="20"/>
          <w:szCs w:val="20"/>
        </w:rPr>
      </w:pPr>
      <w:r w:rsidRPr="0016235B">
        <w:rPr>
          <w:rFonts w:ascii="Candara" w:hAnsi="Candara"/>
          <w:noProof/>
        </w:rPr>
        <w:drawing>
          <wp:inline distT="0" distB="0" distL="0" distR="0" wp14:anchorId="61CF0E61" wp14:editId="4D266F61">
            <wp:extent cx="5876925" cy="3562350"/>
            <wp:effectExtent l="0" t="0" r="9525" b="0"/>
            <wp:docPr id="38" name="Chart 38">
              <a:extLst xmlns:a="http://schemas.openxmlformats.org/drawingml/2006/main">
                <a:ext uri="{FF2B5EF4-FFF2-40B4-BE49-F238E27FC236}">
                  <a16:creationId xmlns:a16="http://schemas.microsoft.com/office/drawing/2014/main" id="{4E474ED7-6859-4B3F-9E6D-477E491B3D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79B251D2" w14:textId="77777777" w:rsidR="00D729B1" w:rsidRPr="0016235B" w:rsidRDefault="00D729B1" w:rsidP="00D729B1">
      <w:pPr>
        <w:jc w:val="both"/>
        <w:rPr>
          <w:rFonts w:ascii="Candara" w:hAnsi="Candara"/>
          <w:sz w:val="20"/>
          <w:szCs w:val="20"/>
        </w:rPr>
      </w:pPr>
    </w:p>
    <w:p w14:paraId="48F9E651" w14:textId="588E9378" w:rsidR="00D729B1" w:rsidRPr="0016235B" w:rsidRDefault="00D729B1" w:rsidP="00D729B1">
      <w:pPr>
        <w:spacing w:after="0" w:line="240" w:lineRule="auto"/>
        <w:jc w:val="both"/>
        <w:rPr>
          <w:rFonts w:ascii="Candara" w:hAnsi="Candara"/>
          <w:b/>
          <w:sz w:val="24"/>
          <w:szCs w:val="24"/>
        </w:rPr>
      </w:pPr>
      <w:r w:rsidRPr="0016235B">
        <w:rPr>
          <w:rFonts w:ascii="Candara" w:hAnsi="Candara"/>
          <w:b/>
          <w:sz w:val="24"/>
          <w:szCs w:val="24"/>
        </w:rPr>
        <w:t xml:space="preserve">Percentage of facilities that have tracer items for diabetes services among facilities that provide this service, by equity </w:t>
      </w:r>
      <w:proofErr w:type="spellStart"/>
      <w:r w:rsidRPr="0016235B">
        <w:rPr>
          <w:rFonts w:ascii="Candara" w:hAnsi="Candara"/>
          <w:b/>
          <w:sz w:val="24"/>
          <w:szCs w:val="24"/>
        </w:rPr>
        <w:t>stratifiers</w:t>
      </w:r>
      <w:proofErr w:type="spellEnd"/>
      <w:r w:rsidRPr="0016235B">
        <w:rPr>
          <w:rFonts w:ascii="Candara" w:hAnsi="Candara"/>
          <w:b/>
          <w:sz w:val="24"/>
          <w:szCs w:val="24"/>
        </w:rPr>
        <w:t xml:space="preserve"> (N=56)</w:t>
      </w:r>
    </w:p>
    <w:p w14:paraId="3605832C" w14:textId="77777777" w:rsidR="00D729B1" w:rsidRPr="0016235B" w:rsidRDefault="00D729B1" w:rsidP="00D729B1">
      <w:pPr>
        <w:tabs>
          <w:tab w:val="left" w:pos="1560"/>
        </w:tabs>
        <w:jc w:val="both"/>
        <w:rPr>
          <w:rFonts w:ascii="Candara" w:hAnsi="Candara"/>
          <w:sz w:val="20"/>
          <w:szCs w:val="20"/>
        </w:rPr>
      </w:pPr>
      <w:r w:rsidRPr="0016235B">
        <w:rPr>
          <w:rFonts w:ascii="Candara" w:hAnsi="Candara"/>
          <w:noProof/>
        </w:rPr>
        <w:drawing>
          <wp:inline distT="0" distB="0" distL="0" distR="0" wp14:anchorId="22112C14" wp14:editId="3AABE1B3">
            <wp:extent cx="5943600" cy="3321685"/>
            <wp:effectExtent l="0" t="0" r="0" b="12065"/>
            <wp:docPr id="94" name="Chart 94">
              <a:extLst xmlns:a="http://schemas.openxmlformats.org/drawingml/2006/main">
                <a:ext uri="{FF2B5EF4-FFF2-40B4-BE49-F238E27FC236}">
                  <a16:creationId xmlns:a16="http://schemas.microsoft.com/office/drawing/2014/main" id="{75E826FA-C71C-4A9F-B3F5-347A613892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0C860F58" w14:textId="77777777" w:rsidR="00D729B1" w:rsidRPr="0016235B" w:rsidRDefault="00D729B1" w:rsidP="00D729B1">
      <w:pPr>
        <w:tabs>
          <w:tab w:val="left" w:pos="1560"/>
        </w:tabs>
        <w:jc w:val="both"/>
        <w:rPr>
          <w:rFonts w:ascii="Candara" w:hAnsi="Candara"/>
          <w:sz w:val="20"/>
          <w:szCs w:val="20"/>
        </w:rPr>
      </w:pPr>
    </w:p>
    <w:p w14:paraId="0E076D14" w14:textId="77777777" w:rsidR="00D729B1" w:rsidRPr="0016235B" w:rsidRDefault="00D729B1" w:rsidP="00D729B1">
      <w:pPr>
        <w:rPr>
          <w:rFonts w:ascii="Candara" w:hAnsi="Candara"/>
          <w:b/>
          <w:sz w:val="20"/>
          <w:szCs w:val="20"/>
        </w:rPr>
      </w:pPr>
      <w:r w:rsidRPr="0016235B">
        <w:rPr>
          <w:rFonts w:ascii="Candara" w:hAnsi="Candara"/>
          <w:b/>
          <w:sz w:val="20"/>
          <w:szCs w:val="20"/>
        </w:rPr>
        <w:br w:type="page"/>
      </w:r>
    </w:p>
    <w:tbl>
      <w:tblPr>
        <w:tblStyle w:val="TableGrid"/>
        <w:tblW w:w="9409" w:type="dxa"/>
        <w:tblLook w:val="04A0" w:firstRow="1" w:lastRow="0" w:firstColumn="1" w:lastColumn="0" w:noHBand="0" w:noVBand="1"/>
      </w:tblPr>
      <w:tblGrid>
        <w:gridCol w:w="9409"/>
      </w:tblGrid>
      <w:tr w:rsidR="001A6664" w:rsidRPr="0016235B" w14:paraId="70C822C5" w14:textId="77777777" w:rsidTr="00FF2682">
        <w:trPr>
          <w:trHeight w:val="262"/>
        </w:trPr>
        <w:tc>
          <w:tcPr>
            <w:tcW w:w="9409" w:type="dxa"/>
          </w:tcPr>
          <w:p w14:paraId="369798A8" w14:textId="77777777" w:rsidR="001A6664" w:rsidRPr="0016235B" w:rsidRDefault="001A6664" w:rsidP="00FF2682">
            <w:pPr>
              <w:rPr>
                <w:rFonts w:ascii="Candara" w:hAnsi="Candara"/>
                <w:b/>
              </w:rPr>
            </w:pPr>
            <w:r w:rsidRPr="0016235B">
              <w:rPr>
                <w:rFonts w:ascii="Candara" w:hAnsi="Candara"/>
                <w:b/>
              </w:rPr>
              <w:lastRenderedPageBreak/>
              <w:t>Key findings</w:t>
            </w:r>
          </w:p>
        </w:tc>
      </w:tr>
      <w:tr w:rsidR="001A6664" w:rsidRPr="0016235B" w14:paraId="0292F365" w14:textId="77777777" w:rsidTr="00FF2682">
        <w:trPr>
          <w:trHeight w:val="2663"/>
        </w:trPr>
        <w:tc>
          <w:tcPr>
            <w:tcW w:w="9409" w:type="dxa"/>
          </w:tcPr>
          <w:p w14:paraId="2C6C5EE6" w14:textId="2D0BF793" w:rsidR="001A6664" w:rsidRPr="0016235B" w:rsidRDefault="001A6664" w:rsidP="001A6664">
            <w:pPr>
              <w:pStyle w:val="ListParagraph"/>
              <w:numPr>
                <w:ilvl w:val="0"/>
                <w:numId w:val="1"/>
              </w:numPr>
              <w:tabs>
                <w:tab w:val="left" w:pos="810"/>
                <w:tab w:val="left" w:pos="1560"/>
              </w:tabs>
              <w:jc w:val="both"/>
              <w:rPr>
                <w:rFonts w:ascii="Candara" w:hAnsi="Candara" w:cs="Times New Roman"/>
                <w:sz w:val="24"/>
                <w:szCs w:val="24"/>
              </w:rPr>
            </w:pPr>
            <w:r w:rsidRPr="0016235B">
              <w:rPr>
                <w:rFonts w:ascii="Candara" w:hAnsi="Candara" w:cs="Times New Roman"/>
                <w:sz w:val="24"/>
                <w:szCs w:val="24"/>
              </w:rPr>
              <w:t>The overall mean availability of tracer medicines was 10 of the 14 (72%) of the items assessed, while only 6% of the health facilities were found with all the tracer items</w:t>
            </w:r>
          </w:p>
          <w:p w14:paraId="54815C45" w14:textId="77777777" w:rsidR="001A6664" w:rsidRPr="0016235B" w:rsidRDefault="001A6664" w:rsidP="001A6664">
            <w:pPr>
              <w:pStyle w:val="ListParagraph"/>
              <w:numPr>
                <w:ilvl w:val="0"/>
                <w:numId w:val="1"/>
              </w:numPr>
              <w:tabs>
                <w:tab w:val="left" w:pos="810"/>
                <w:tab w:val="left" w:pos="1560"/>
              </w:tabs>
              <w:jc w:val="both"/>
              <w:rPr>
                <w:rFonts w:ascii="Candara" w:hAnsi="Candara" w:cs="Times New Roman"/>
                <w:sz w:val="24"/>
                <w:szCs w:val="24"/>
              </w:rPr>
            </w:pPr>
            <w:r w:rsidRPr="0016235B">
              <w:rPr>
                <w:rFonts w:ascii="Candara" w:hAnsi="Candara" w:cs="Times New Roman"/>
                <w:sz w:val="24"/>
                <w:szCs w:val="24"/>
              </w:rPr>
              <w:t>Urine dipstick for ketone bodies, glucose, protein and blood glucose tests were available in all sites assessed</w:t>
            </w:r>
          </w:p>
          <w:p w14:paraId="01BD9E2F" w14:textId="2127055A" w:rsidR="001A6664" w:rsidRPr="0016235B" w:rsidRDefault="001A6664" w:rsidP="001A6664">
            <w:pPr>
              <w:pStyle w:val="ListParagraph"/>
              <w:numPr>
                <w:ilvl w:val="0"/>
                <w:numId w:val="1"/>
              </w:numPr>
              <w:tabs>
                <w:tab w:val="left" w:pos="810"/>
                <w:tab w:val="left" w:pos="1560"/>
              </w:tabs>
              <w:jc w:val="both"/>
              <w:rPr>
                <w:rFonts w:ascii="Candara" w:hAnsi="Candara" w:cs="Times New Roman"/>
                <w:sz w:val="24"/>
                <w:szCs w:val="24"/>
              </w:rPr>
            </w:pPr>
            <w:r w:rsidRPr="0016235B">
              <w:rPr>
                <w:rFonts w:ascii="Candara" w:hAnsi="Candara" w:cs="Times New Roman"/>
                <w:sz w:val="24"/>
                <w:szCs w:val="24"/>
              </w:rPr>
              <w:t>On the other hand, gliclazide and insulin regular were least available at 20% and 36% respectively.</w:t>
            </w:r>
          </w:p>
          <w:p w14:paraId="626A1FC1" w14:textId="77777777" w:rsidR="001A6664" w:rsidRPr="0016235B" w:rsidRDefault="001A6664" w:rsidP="001A6664">
            <w:pPr>
              <w:pStyle w:val="ListParagraph"/>
              <w:numPr>
                <w:ilvl w:val="0"/>
                <w:numId w:val="1"/>
              </w:numPr>
              <w:tabs>
                <w:tab w:val="left" w:pos="810"/>
                <w:tab w:val="left" w:pos="1560"/>
              </w:tabs>
              <w:jc w:val="both"/>
              <w:rPr>
                <w:rFonts w:ascii="Candara" w:hAnsi="Candara" w:cs="Times New Roman"/>
                <w:sz w:val="24"/>
                <w:szCs w:val="24"/>
              </w:rPr>
            </w:pPr>
            <w:r w:rsidRPr="0016235B">
              <w:rPr>
                <w:rFonts w:ascii="Candara" w:hAnsi="Candara" w:cs="Times New Roman"/>
                <w:sz w:val="24"/>
                <w:szCs w:val="24"/>
              </w:rPr>
              <w:t>Half of the facilities had staff trained and guidelines for diagnosis and management of diabetes.</w:t>
            </w:r>
          </w:p>
          <w:p w14:paraId="1C510F2D" w14:textId="77777777" w:rsidR="001A6664" w:rsidRPr="0016235B" w:rsidRDefault="001A6664" w:rsidP="001A6664">
            <w:pPr>
              <w:pStyle w:val="ListParagraph"/>
              <w:numPr>
                <w:ilvl w:val="0"/>
                <w:numId w:val="1"/>
              </w:numPr>
              <w:tabs>
                <w:tab w:val="left" w:pos="810"/>
                <w:tab w:val="left" w:pos="1560"/>
              </w:tabs>
              <w:jc w:val="both"/>
              <w:rPr>
                <w:rFonts w:ascii="Candara" w:hAnsi="Candara" w:cs="Times New Roman"/>
                <w:sz w:val="24"/>
                <w:szCs w:val="24"/>
              </w:rPr>
            </w:pPr>
            <w:r w:rsidRPr="0016235B">
              <w:rPr>
                <w:rFonts w:ascii="Candara" w:hAnsi="Candara" w:cs="Times New Roman"/>
                <w:sz w:val="24"/>
                <w:szCs w:val="24"/>
              </w:rPr>
              <w:t>Overall, of the facilities that provide diabetes services, all had diagnostic capacity, 86% had equipment, 51% had staff and guidelines, 52% had medicines and commodities.</w:t>
            </w:r>
          </w:p>
          <w:p w14:paraId="091B9795" w14:textId="44694BDC" w:rsidR="001A6664" w:rsidRPr="0016235B" w:rsidRDefault="001A6664" w:rsidP="001A6664">
            <w:pPr>
              <w:pStyle w:val="ListParagraph"/>
              <w:numPr>
                <w:ilvl w:val="0"/>
                <w:numId w:val="1"/>
              </w:numPr>
              <w:jc w:val="both"/>
              <w:rPr>
                <w:rFonts w:ascii="Candara" w:hAnsi="Candara"/>
              </w:rPr>
            </w:pPr>
            <w:r w:rsidRPr="0016235B">
              <w:rPr>
                <w:rFonts w:ascii="Candara" w:hAnsi="Candara" w:cs="Times New Roman"/>
                <w:sz w:val="24"/>
                <w:szCs w:val="24"/>
              </w:rPr>
              <w:t>The readiness score for diabetes diagnostic and management was 72%.</w:t>
            </w:r>
          </w:p>
        </w:tc>
      </w:tr>
    </w:tbl>
    <w:p w14:paraId="119FB2B6" w14:textId="77777777" w:rsidR="001A6664" w:rsidRPr="0016235B" w:rsidRDefault="001A6664" w:rsidP="001A64E1">
      <w:pPr>
        <w:spacing w:after="0" w:line="240" w:lineRule="auto"/>
        <w:jc w:val="both"/>
        <w:rPr>
          <w:rFonts w:ascii="Candara" w:eastAsia="Times New Roman" w:hAnsi="Candara" w:cs="Times New Roman"/>
          <w:bCs/>
          <w:sz w:val="24"/>
          <w:szCs w:val="24"/>
          <w:lang w:eastAsia="en-GB"/>
        </w:rPr>
      </w:pPr>
    </w:p>
    <w:p w14:paraId="3D7C6440" w14:textId="77777777" w:rsidR="00D729B1" w:rsidRPr="0016235B" w:rsidRDefault="00D729B1" w:rsidP="001A64E1">
      <w:pPr>
        <w:spacing w:after="0" w:line="240" w:lineRule="auto"/>
        <w:jc w:val="both"/>
        <w:rPr>
          <w:rFonts w:ascii="Candara" w:eastAsia="Times New Roman" w:hAnsi="Candara" w:cs="Times New Roman"/>
          <w:bCs/>
          <w:sz w:val="24"/>
          <w:szCs w:val="24"/>
          <w:lang w:eastAsia="en-GB"/>
        </w:rPr>
      </w:pPr>
    </w:p>
    <w:p w14:paraId="49DB497E" w14:textId="77777777" w:rsidR="001A6664" w:rsidRPr="0016235B" w:rsidRDefault="001A6664" w:rsidP="001A64E1">
      <w:pPr>
        <w:spacing w:after="0" w:line="240" w:lineRule="auto"/>
        <w:jc w:val="both"/>
        <w:rPr>
          <w:rFonts w:ascii="Candara" w:eastAsia="Times New Roman" w:hAnsi="Candara" w:cs="Times New Roman"/>
          <w:bCs/>
          <w:sz w:val="24"/>
          <w:szCs w:val="24"/>
          <w:lang w:eastAsia="en-GB"/>
        </w:rPr>
      </w:pPr>
    </w:p>
    <w:p w14:paraId="16049BD7" w14:textId="77777777" w:rsidR="001A6664" w:rsidRPr="0016235B" w:rsidRDefault="001A6664" w:rsidP="001A6664">
      <w:pPr>
        <w:tabs>
          <w:tab w:val="left" w:pos="0"/>
          <w:tab w:val="left" w:pos="270"/>
        </w:tabs>
        <w:jc w:val="both"/>
        <w:rPr>
          <w:rFonts w:ascii="Candara" w:hAnsi="Candara"/>
          <w:sz w:val="28"/>
          <w:szCs w:val="28"/>
        </w:rPr>
      </w:pPr>
      <w:r w:rsidRPr="0016235B">
        <w:rPr>
          <w:rFonts w:ascii="Candara" w:hAnsi="Candara"/>
          <w:b/>
          <w:sz w:val="28"/>
          <w:szCs w:val="28"/>
        </w:rPr>
        <w:t>Chronic Respiratory diseases (CRD)</w:t>
      </w:r>
    </w:p>
    <w:p w14:paraId="79FD86D6" w14:textId="77777777" w:rsidR="001A6664" w:rsidRPr="0016235B" w:rsidRDefault="001A6664" w:rsidP="001A64E1">
      <w:pPr>
        <w:spacing w:after="0" w:line="240" w:lineRule="auto"/>
        <w:jc w:val="both"/>
        <w:rPr>
          <w:rFonts w:ascii="Candara" w:eastAsia="Times New Roman" w:hAnsi="Candara" w:cs="Times New Roman"/>
          <w:bCs/>
          <w:sz w:val="24"/>
          <w:szCs w:val="24"/>
          <w:lang w:eastAsia="en-GB"/>
        </w:rPr>
      </w:pPr>
    </w:p>
    <w:p w14:paraId="5BC1298F" w14:textId="77777777" w:rsidR="001A6664" w:rsidRPr="0016235B" w:rsidRDefault="001A6664" w:rsidP="001A6664">
      <w:pPr>
        <w:tabs>
          <w:tab w:val="left" w:pos="0"/>
          <w:tab w:val="left" w:pos="270"/>
        </w:tabs>
        <w:jc w:val="both"/>
        <w:rPr>
          <w:rFonts w:ascii="Candara" w:hAnsi="Candara"/>
          <w:bCs/>
          <w:sz w:val="24"/>
          <w:szCs w:val="24"/>
        </w:rPr>
      </w:pPr>
      <w:r w:rsidRPr="0016235B">
        <w:rPr>
          <w:rFonts w:ascii="Candara" w:hAnsi="Candara"/>
          <w:bCs/>
          <w:sz w:val="24"/>
          <w:szCs w:val="24"/>
        </w:rPr>
        <w:t>Service provision through health facilities remains low at 48% for chronic respiratory diseases (CRD) amongst other non-communicable diseases (NCD)</w:t>
      </w:r>
    </w:p>
    <w:p w14:paraId="1C6432B6" w14:textId="77777777" w:rsidR="001A6664" w:rsidRPr="0016235B" w:rsidRDefault="001A6664" w:rsidP="001A6664">
      <w:pPr>
        <w:tabs>
          <w:tab w:val="left" w:pos="0"/>
          <w:tab w:val="left" w:pos="270"/>
        </w:tabs>
        <w:jc w:val="both"/>
        <w:rPr>
          <w:rFonts w:ascii="Candara" w:hAnsi="Candara"/>
          <w:sz w:val="24"/>
          <w:szCs w:val="24"/>
        </w:rPr>
      </w:pPr>
      <w:r w:rsidRPr="0016235B">
        <w:rPr>
          <w:rFonts w:ascii="Candara" w:hAnsi="Candara"/>
          <w:bCs/>
          <w:sz w:val="24"/>
          <w:szCs w:val="24"/>
        </w:rPr>
        <w:t>The tracer items required for service delivery in the assessment were; trained staff and guidelines</w:t>
      </w:r>
      <w:r w:rsidRPr="0016235B">
        <w:rPr>
          <w:rFonts w:ascii="Candara" w:hAnsi="Candara"/>
          <w:sz w:val="24"/>
          <w:szCs w:val="24"/>
        </w:rPr>
        <w:t xml:space="preserve"> for diagnosis and management of CRD, e</w:t>
      </w:r>
      <w:r w:rsidRPr="0016235B">
        <w:rPr>
          <w:rFonts w:ascii="Candara" w:hAnsi="Candara"/>
          <w:bCs/>
          <w:sz w:val="24"/>
          <w:szCs w:val="24"/>
        </w:rPr>
        <w:t xml:space="preserve">quipment; </w:t>
      </w:r>
      <w:r w:rsidRPr="0016235B">
        <w:rPr>
          <w:rFonts w:ascii="Candara" w:hAnsi="Candara"/>
          <w:sz w:val="24"/>
          <w:szCs w:val="24"/>
        </w:rPr>
        <w:t xml:space="preserve">Stethoscope, Peak flow meter, Spacers for inhalers, Oxygen delivery apparatus and </w:t>
      </w:r>
      <w:r w:rsidRPr="0016235B">
        <w:rPr>
          <w:rFonts w:ascii="Candara" w:hAnsi="Candara"/>
          <w:bCs/>
          <w:sz w:val="24"/>
          <w:szCs w:val="24"/>
        </w:rPr>
        <w:t xml:space="preserve">Medicines and commodities; </w:t>
      </w:r>
      <w:r w:rsidRPr="0016235B">
        <w:rPr>
          <w:rFonts w:ascii="Candara" w:hAnsi="Candara"/>
          <w:sz w:val="24"/>
          <w:szCs w:val="24"/>
        </w:rPr>
        <w:t>Salbutamol inhaler, Beclomethasone inhaler, Prednisolone cap/tabs, Hydrocortisone cap/tabs, Epinephrine injectable.</w:t>
      </w:r>
    </w:p>
    <w:p w14:paraId="51C093AF" w14:textId="307E007C" w:rsidR="001A64E1" w:rsidRPr="0016235B" w:rsidRDefault="001A64E1">
      <w:pPr>
        <w:rPr>
          <w:rFonts w:ascii="Candara" w:eastAsia="Times New Roman" w:hAnsi="Candara" w:cs="Times New Roman"/>
          <w:bCs/>
          <w:lang w:eastAsia="en-GB"/>
        </w:rPr>
      </w:pPr>
    </w:p>
    <w:p w14:paraId="5B6D368B" w14:textId="43F91B52" w:rsidR="001A64E1"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Percentage of facilities that have tracer items for chronic respiratory disease services among facilities that provide this service (N=</w:t>
      </w:r>
      <w:r w:rsidR="001A64E1" w:rsidRPr="0016235B">
        <w:rPr>
          <w:rFonts w:ascii="Candara" w:eastAsia="Times New Roman" w:hAnsi="Candara" w:cs="Times New Roman"/>
          <w:b/>
          <w:bCs/>
          <w:sz w:val="24"/>
          <w:szCs w:val="24"/>
          <w:lang w:eastAsia="en-GB"/>
        </w:rPr>
        <w:t>64</w:t>
      </w:r>
      <w:r w:rsidRPr="0016235B">
        <w:rPr>
          <w:rFonts w:ascii="Candara" w:eastAsia="Times New Roman" w:hAnsi="Candara" w:cs="Times New Roman"/>
          <w:b/>
          <w:bCs/>
          <w:sz w:val="24"/>
          <w:szCs w:val="24"/>
          <w:lang w:eastAsia="en-GB"/>
        </w:rPr>
        <w:t>)</w:t>
      </w:r>
    </w:p>
    <w:p w14:paraId="07D26C42" w14:textId="38DC58BA" w:rsidR="001A64E1" w:rsidRPr="0016235B" w:rsidRDefault="001A64E1" w:rsidP="00672B04">
      <w:pPr>
        <w:spacing w:after="0" w:line="240" w:lineRule="auto"/>
        <w:rPr>
          <w:rFonts w:ascii="Candara" w:eastAsia="Times New Roman" w:hAnsi="Candara" w:cs="Times New Roman"/>
          <w:bCs/>
          <w:lang w:eastAsia="en-GB"/>
        </w:rPr>
      </w:pPr>
      <w:r w:rsidRPr="0016235B">
        <w:rPr>
          <w:rFonts w:ascii="Candara" w:hAnsi="Candara"/>
          <w:noProof/>
        </w:rPr>
        <w:drawing>
          <wp:inline distT="0" distB="0" distL="0" distR="0" wp14:anchorId="7844AEEF" wp14:editId="4C832B40">
            <wp:extent cx="5657850" cy="3438525"/>
            <wp:effectExtent l="0" t="0" r="0" b="9525"/>
            <wp:docPr id="31" name="Chart 31">
              <a:extLst xmlns:a="http://schemas.openxmlformats.org/drawingml/2006/main">
                <a:ext uri="{FF2B5EF4-FFF2-40B4-BE49-F238E27FC236}">
                  <a16:creationId xmlns:a16="http://schemas.microsoft.com/office/drawing/2014/main" id="{AFDCF10C-0996-49AC-B6CE-5B5DA8492B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27C0535F" w14:textId="77777777" w:rsidR="00672B04" w:rsidRPr="0016235B" w:rsidRDefault="00672B04" w:rsidP="00672B04">
      <w:pPr>
        <w:rPr>
          <w:rFonts w:ascii="Candara" w:hAnsi="Candara" w:cs="Times New Roman"/>
        </w:rPr>
      </w:pPr>
    </w:p>
    <w:p w14:paraId="184B2274" w14:textId="45969594" w:rsidR="00672B04"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 of facilities with tracer items for offering services for chronic obstructive respiratory disease,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w:t>
      </w:r>
      <w:r w:rsidR="001A64E1" w:rsidRPr="0016235B">
        <w:rPr>
          <w:rFonts w:ascii="Candara" w:eastAsia="Times New Roman" w:hAnsi="Candara" w:cs="Times New Roman"/>
          <w:b/>
          <w:bCs/>
          <w:sz w:val="24"/>
          <w:szCs w:val="24"/>
          <w:lang w:eastAsia="en-GB"/>
        </w:rPr>
        <w:t>64</w:t>
      </w:r>
      <w:r w:rsidRPr="0016235B">
        <w:rPr>
          <w:rFonts w:ascii="Candara" w:eastAsia="Times New Roman" w:hAnsi="Candara" w:cs="Times New Roman"/>
          <w:b/>
          <w:bCs/>
          <w:sz w:val="24"/>
          <w:szCs w:val="24"/>
          <w:lang w:eastAsia="en-GB"/>
        </w:rPr>
        <w:t>)</w:t>
      </w:r>
    </w:p>
    <w:p w14:paraId="157585CC" w14:textId="15CE5972" w:rsidR="00672B04" w:rsidRPr="0016235B" w:rsidRDefault="001A64E1" w:rsidP="00672B04">
      <w:pPr>
        <w:rPr>
          <w:rFonts w:ascii="Candara" w:hAnsi="Candara" w:cs="Times New Roman"/>
        </w:rPr>
      </w:pPr>
      <w:r w:rsidRPr="0016235B">
        <w:rPr>
          <w:rFonts w:ascii="Candara" w:hAnsi="Candara"/>
          <w:noProof/>
        </w:rPr>
        <w:drawing>
          <wp:inline distT="0" distB="0" distL="0" distR="0" wp14:anchorId="284A1952" wp14:editId="20255EA2">
            <wp:extent cx="5819775" cy="3543300"/>
            <wp:effectExtent l="0" t="0" r="9525" b="0"/>
            <wp:docPr id="36" name="Chart 36">
              <a:extLst xmlns:a="http://schemas.openxmlformats.org/drawingml/2006/main">
                <a:ext uri="{FF2B5EF4-FFF2-40B4-BE49-F238E27FC236}">
                  <a16:creationId xmlns:a16="http://schemas.microsoft.com/office/drawing/2014/main" id="{BB6B18E5-DB9B-4234-B2F5-7ACB113318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10AE0EE7" w14:textId="77777777" w:rsidR="005D2E87" w:rsidRPr="0016235B" w:rsidRDefault="005D2E87" w:rsidP="00672B04">
      <w:pPr>
        <w:rPr>
          <w:rFonts w:ascii="Candara" w:hAnsi="Candara" w:cs="Times New Roman"/>
        </w:rPr>
      </w:pPr>
    </w:p>
    <w:tbl>
      <w:tblPr>
        <w:tblStyle w:val="TableGrid"/>
        <w:tblW w:w="9409" w:type="dxa"/>
        <w:tblLook w:val="04A0" w:firstRow="1" w:lastRow="0" w:firstColumn="1" w:lastColumn="0" w:noHBand="0" w:noVBand="1"/>
      </w:tblPr>
      <w:tblGrid>
        <w:gridCol w:w="9409"/>
      </w:tblGrid>
      <w:tr w:rsidR="004C1570" w:rsidRPr="0016235B" w14:paraId="47D7AB3B" w14:textId="77777777" w:rsidTr="00FF2682">
        <w:trPr>
          <w:trHeight w:val="262"/>
        </w:trPr>
        <w:tc>
          <w:tcPr>
            <w:tcW w:w="9409" w:type="dxa"/>
          </w:tcPr>
          <w:p w14:paraId="66DD0362" w14:textId="77777777" w:rsidR="004C1570" w:rsidRPr="0016235B" w:rsidRDefault="004C1570" w:rsidP="00FF2682">
            <w:pPr>
              <w:rPr>
                <w:rFonts w:ascii="Candara" w:hAnsi="Candara"/>
                <w:b/>
              </w:rPr>
            </w:pPr>
            <w:r w:rsidRPr="0016235B">
              <w:rPr>
                <w:rFonts w:ascii="Candara" w:hAnsi="Candara"/>
                <w:b/>
              </w:rPr>
              <w:t>Key findings</w:t>
            </w:r>
          </w:p>
        </w:tc>
      </w:tr>
      <w:tr w:rsidR="004C1570" w:rsidRPr="0016235B" w14:paraId="36904661" w14:textId="77777777" w:rsidTr="00FF2682">
        <w:trPr>
          <w:trHeight w:val="2663"/>
        </w:trPr>
        <w:tc>
          <w:tcPr>
            <w:tcW w:w="9409" w:type="dxa"/>
          </w:tcPr>
          <w:p w14:paraId="1D007DB2" w14:textId="77777777" w:rsidR="00DD7BEC" w:rsidRPr="0016235B" w:rsidRDefault="00DD7BEC" w:rsidP="00DD7BEC">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On average, facilities had 5 of the 11 (44%) tracer items for</w:t>
            </w:r>
            <w:r w:rsidRPr="0016235B">
              <w:rPr>
                <w:rFonts w:ascii="Candara" w:eastAsia="Times New Roman" w:hAnsi="Candara" w:cs="Times New Roman"/>
                <w:bCs/>
                <w:lang w:eastAsia="en-GB"/>
              </w:rPr>
              <w:t xml:space="preserve"> chronic respiratory disease</w:t>
            </w:r>
            <w:r w:rsidRPr="0016235B">
              <w:rPr>
                <w:rFonts w:ascii="Candara" w:eastAsia="Times New Roman" w:hAnsi="Candara" w:cs="Times New Roman"/>
                <w:b/>
                <w:bCs/>
                <w:lang w:eastAsia="en-GB"/>
              </w:rPr>
              <w:t xml:space="preserve"> </w:t>
            </w:r>
            <w:r w:rsidRPr="0016235B">
              <w:rPr>
                <w:rFonts w:ascii="Candara" w:eastAsia="Times New Roman" w:hAnsi="Candara" w:cs="Times New Roman"/>
                <w:bCs/>
                <w:lang w:eastAsia="en-GB"/>
              </w:rPr>
              <w:t>services</w:t>
            </w:r>
          </w:p>
          <w:p w14:paraId="3A57E121" w14:textId="6A60AB16" w:rsidR="004C1570" w:rsidRPr="0016235B" w:rsidRDefault="004C1570" w:rsidP="004C1570">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Only 1% of the facilities that provide </w:t>
            </w:r>
            <w:r w:rsidRPr="0016235B">
              <w:rPr>
                <w:rFonts w:ascii="Candara" w:eastAsia="Times New Roman" w:hAnsi="Candara" w:cs="Times New Roman"/>
                <w:bCs/>
                <w:lang w:eastAsia="en-GB"/>
              </w:rPr>
              <w:t>Chronic Respiratory Disease</w:t>
            </w:r>
            <w:r w:rsidRPr="0016235B">
              <w:rPr>
                <w:rFonts w:ascii="Candara" w:eastAsia="Times New Roman" w:hAnsi="Candara" w:cs="Times New Roman"/>
                <w:b/>
                <w:bCs/>
                <w:lang w:eastAsia="en-GB"/>
              </w:rPr>
              <w:t xml:space="preserve"> </w:t>
            </w:r>
            <w:r w:rsidRPr="0016235B">
              <w:rPr>
                <w:rFonts w:ascii="Candara" w:eastAsia="Times New Roman" w:hAnsi="Candara" w:cs="Times New Roman"/>
                <w:bCs/>
                <w:lang w:eastAsia="en-GB"/>
              </w:rPr>
              <w:t>services</w:t>
            </w:r>
            <w:r w:rsidRPr="0016235B">
              <w:rPr>
                <w:rFonts w:ascii="Candara" w:hAnsi="Candara" w:cs="Times New Roman"/>
              </w:rPr>
              <w:t xml:space="preserve"> ha</w:t>
            </w:r>
            <w:r w:rsidR="006F3232">
              <w:rPr>
                <w:rFonts w:ascii="Candara" w:hAnsi="Candara" w:cs="Times New Roman"/>
              </w:rPr>
              <w:t>d</w:t>
            </w:r>
            <w:r w:rsidRPr="0016235B">
              <w:rPr>
                <w:rFonts w:ascii="Candara" w:hAnsi="Candara" w:cs="Times New Roman"/>
              </w:rPr>
              <w:t xml:space="preserve"> all tracer items available</w:t>
            </w:r>
          </w:p>
          <w:p w14:paraId="215E1BA9" w14:textId="1D64CB81" w:rsidR="004C1570" w:rsidRPr="0016235B" w:rsidRDefault="004C1570" w:rsidP="004C1570">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The most available tracer item in health facilities for </w:t>
            </w:r>
            <w:r w:rsidRPr="0016235B">
              <w:rPr>
                <w:rFonts w:ascii="Candara" w:eastAsia="Times New Roman" w:hAnsi="Candara" w:cs="Times New Roman"/>
                <w:bCs/>
                <w:lang w:eastAsia="en-GB"/>
              </w:rPr>
              <w:t>Chronic Respiratory Disease</w:t>
            </w:r>
            <w:r w:rsidRPr="0016235B">
              <w:rPr>
                <w:rFonts w:ascii="Candara" w:eastAsia="Times New Roman" w:hAnsi="Candara" w:cs="Times New Roman"/>
                <w:b/>
                <w:bCs/>
                <w:lang w:eastAsia="en-GB"/>
              </w:rPr>
              <w:t xml:space="preserve"> </w:t>
            </w:r>
            <w:r w:rsidRPr="0016235B">
              <w:rPr>
                <w:rFonts w:ascii="Candara" w:eastAsia="Times New Roman" w:hAnsi="Candara" w:cs="Times New Roman"/>
                <w:bCs/>
                <w:lang w:eastAsia="en-GB"/>
              </w:rPr>
              <w:t>services</w:t>
            </w:r>
            <w:r w:rsidRPr="0016235B">
              <w:rPr>
                <w:rFonts w:ascii="Candara" w:hAnsi="Candara" w:cs="Times New Roman"/>
              </w:rPr>
              <w:t xml:space="preserve"> </w:t>
            </w:r>
            <w:r w:rsidR="006F3232">
              <w:rPr>
                <w:rFonts w:ascii="Candara" w:hAnsi="Candara" w:cs="Times New Roman"/>
              </w:rPr>
              <w:t>was</w:t>
            </w:r>
            <w:r w:rsidRPr="0016235B">
              <w:rPr>
                <w:rFonts w:ascii="Candara" w:hAnsi="Candara" w:cs="Times New Roman"/>
              </w:rPr>
              <w:t xml:space="preserve"> the stethoscope 94% and the least </w:t>
            </w:r>
            <w:r w:rsidR="006F3232">
              <w:rPr>
                <w:rFonts w:ascii="Candara" w:hAnsi="Candara" w:cs="Times New Roman"/>
              </w:rPr>
              <w:t>wa</w:t>
            </w:r>
            <w:r w:rsidRPr="0016235B">
              <w:rPr>
                <w:rFonts w:ascii="Candara" w:hAnsi="Candara" w:cs="Times New Roman"/>
              </w:rPr>
              <w:t>s Beclomethasone inhaler 17%</w:t>
            </w:r>
          </w:p>
          <w:p w14:paraId="3257D7D2" w14:textId="77777777" w:rsidR="004C1570" w:rsidRPr="0016235B" w:rsidRDefault="004C1570" w:rsidP="004C1570">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Hospitals had more tracer items than lower level facilities</w:t>
            </w:r>
          </w:p>
          <w:p w14:paraId="6EFF5A52" w14:textId="751255EE" w:rsidR="004C1570" w:rsidRPr="0016235B" w:rsidRDefault="004C1570" w:rsidP="004C1570">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Urban and rural </w:t>
            </w:r>
            <w:r w:rsidR="00DD7BEC" w:rsidRPr="0016235B">
              <w:rPr>
                <w:rFonts w:ascii="Candara" w:hAnsi="Candara" w:cs="Times New Roman"/>
              </w:rPr>
              <w:t>facilities had</w:t>
            </w:r>
            <w:r w:rsidRPr="0016235B">
              <w:rPr>
                <w:rFonts w:ascii="Candara" w:hAnsi="Candara" w:cs="Times New Roman"/>
              </w:rPr>
              <w:t xml:space="preserve"> </w:t>
            </w:r>
            <w:r w:rsidR="00DD7BEC" w:rsidRPr="0016235B">
              <w:rPr>
                <w:rFonts w:ascii="Candara" w:hAnsi="Candara" w:cs="Times New Roman"/>
              </w:rPr>
              <w:t xml:space="preserve">relatively </w:t>
            </w:r>
            <w:r w:rsidRPr="0016235B">
              <w:rPr>
                <w:rFonts w:ascii="Candara" w:hAnsi="Candara" w:cs="Times New Roman"/>
              </w:rPr>
              <w:t>similar tracer items</w:t>
            </w:r>
            <w:r w:rsidR="00DD7BEC" w:rsidRPr="0016235B">
              <w:rPr>
                <w:rFonts w:ascii="Candara" w:hAnsi="Candara" w:cs="Times New Roman"/>
              </w:rPr>
              <w:t>;</w:t>
            </w:r>
            <w:r w:rsidRPr="0016235B">
              <w:rPr>
                <w:rFonts w:ascii="Candara" w:hAnsi="Candara" w:cs="Times New Roman"/>
              </w:rPr>
              <w:t xml:space="preserve"> 4</w:t>
            </w:r>
            <w:r w:rsidR="00DD7BEC" w:rsidRPr="0016235B">
              <w:rPr>
                <w:rFonts w:ascii="Candara" w:hAnsi="Candara" w:cs="Times New Roman"/>
              </w:rPr>
              <w:t>5</w:t>
            </w:r>
            <w:r w:rsidRPr="0016235B">
              <w:rPr>
                <w:rFonts w:ascii="Candara" w:hAnsi="Candara" w:cs="Times New Roman"/>
              </w:rPr>
              <w:t xml:space="preserve">% urban and </w:t>
            </w:r>
            <w:r w:rsidR="00DD7BEC" w:rsidRPr="0016235B">
              <w:rPr>
                <w:rFonts w:ascii="Candara" w:hAnsi="Candara" w:cs="Times New Roman"/>
              </w:rPr>
              <w:t>3</w:t>
            </w:r>
            <w:r w:rsidRPr="0016235B">
              <w:rPr>
                <w:rFonts w:ascii="Candara" w:hAnsi="Candara" w:cs="Times New Roman"/>
              </w:rPr>
              <w:t>9% rural</w:t>
            </w:r>
          </w:p>
          <w:p w14:paraId="5538DD1F" w14:textId="0B84DECD" w:rsidR="004C1570" w:rsidRPr="0016235B" w:rsidRDefault="006F3232" w:rsidP="004C1570">
            <w:pPr>
              <w:pStyle w:val="ListParagraph"/>
              <w:numPr>
                <w:ilvl w:val="0"/>
                <w:numId w:val="1"/>
              </w:numPr>
              <w:spacing w:after="120" w:line="264" w:lineRule="auto"/>
              <w:jc w:val="both"/>
              <w:rPr>
                <w:rFonts w:ascii="Candara" w:hAnsi="Candara" w:cs="Times New Roman"/>
              </w:rPr>
            </w:pPr>
            <w:r>
              <w:rPr>
                <w:rFonts w:ascii="Candara" w:hAnsi="Candara" w:cs="Times New Roman"/>
              </w:rPr>
              <w:t xml:space="preserve">Facilities in </w:t>
            </w:r>
            <w:r w:rsidR="004C1570" w:rsidRPr="0016235B">
              <w:rPr>
                <w:rFonts w:ascii="Candara" w:hAnsi="Candara" w:cs="Times New Roman"/>
              </w:rPr>
              <w:t>Central</w:t>
            </w:r>
            <w:r>
              <w:rPr>
                <w:rFonts w:ascii="Candara" w:hAnsi="Candara" w:cs="Times New Roman"/>
              </w:rPr>
              <w:t>-</w:t>
            </w:r>
            <w:r w:rsidR="004C1570" w:rsidRPr="0016235B">
              <w:rPr>
                <w:rFonts w:ascii="Candara" w:hAnsi="Candara" w:cs="Times New Roman"/>
              </w:rPr>
              <w:t>1</w:t>
            </w:r>
            <w:r>
              <w:rPr>
                <w:rFonts w:ascii="Candara" w:hAnsi="Candara" w:cs="Times New Roman"/>
              </w:rPr>
              <w:t xml:space="preserve"> region</w:t>
            </w:r>
            <w:r w:rsidR="004C1570" w:rsidRPr="0016235B">
              <w:rPr>
                <w:rFonts w:ascii="Candara" w:hAnsi="Candara" w:cs="Times New Roman"/>
              </w:rPr>
              <w:t xml:space="preserve"> ha</w:t>
            </w:r>
            <w:r>
              <w:rPr>
                <w:rFonts w:ascii="Candara" w:hAnsi="Candara" w:cs="Times New Roman"/>
              </w:rPr>
              <w:t>d</w:t>
            </w:r>
            <w:r w:rsidR="004C1570" w:rsidRPr="0016235B">
              <w:rPr>
                <w:rFonts w:ascii="Candara" w:hAnsi="Candara" w:cs="Times New Roman"/>
              </w:rPr>
              <w:t xml:space="preserve"> more tracer items (90%) and </w:t>
            </w:r>
            <w:r w:rsidR="00DD7BEC" w:rsidRPr="0016235B">
              <w:rPr>
                <w:rFonts w:ascii="Candara" w:hAnsi="Candara" w:cs="Times New Roman"/>
              </w:rPr>
              <w:t>West-Nile</w:t>
            </w:r>
            <w:r w:rsidR="004C1570" w:rsidRPr="0016235B">
              <w:rPr>
                <w:rFonts w:ascii="Candara" w:hAnsi="Candara" w:cs="Times New Roman"/>
              </w:rPr>
              <w:t xml:space="preserve"> the least with 3</w:t>
            </w:r>
            <w:r w:rsidR="00DD7BEC" w:rsidRPr="0016235B">
              <w:rPr>
                <w:rFonts w:ascii="Candara" w:hAnsi="Candara" w:cs="Times New Roman"/>
              </w:rPr>
              <w:t>6</w:t>
            </w:r>
            <w:r w:rsidR="004C1570" w:rsidRPr="0016235B">
              <w:rPr>
                <w:rFonts w:ascii="Candara" w:hAnsi="Candara" w:cs="Times New Roman"/>
              </w:rPr>
              <w:t>%</w:t>
            </w:r>
          </w:p>
          <w:p w14:paraId="53747A9A" w14:textId="169009DF" w:rsidR="004C1570" w:rsidRPr="0016235B" w:rsidRDefault="000473C6" w:rsidP="004C1570">
            <w:pPr>
              <w:pStyle w:val="ListParagraph"/>
              <w:numPr>
                <w:ilvl w:val="0"/>
                <w:numId w:val="1"/>
              </w:numPr>
              <w:jc w:val="both"/>
              <w:rPr>
                <w:rFonts w:ascii="Candara" w:hAnsi="Candara"/>
              </w:rPr>
            </w:pPr>
            <w:r w:rsidRPr="0016235B">
              <w:rPr>
                <w:rFonts w:ascii="Candara" w:hAnsi="Candara" w:cs="Times New Roman"/>
              </w:rPr>
              <w:t>Only 31% of the health facilities that provide CRD services had staff trained on diagnosis and management while 65% of them had CRD guidelines</w:t>
            </w:r>
          </w:p>
        </w:tc>
      </w:tr>
    </w:tbl>
    <w:p w14:paraId="7041B6F9" w14:textId="77777777" w:rsidR="001A64E1" w:rsidRPr="0016235B" w:rsidRDefault="001A64E1" w:rsidP="00672B04">
      <w:pPr>
        <w:rPr>
          <w:rFonts w:ascii="Candara" w:hAnsi="Candara" w:cs="Times New Roman"/>
        </w:rPr>
      </w:pPr>
    </w:p>
    <w:p w14:paraId="40BD4591" w14:textId="77777777" w:rsidR="00672B04" w:rsidRPr="0016235B" w:rsidRDefault="00672B04" w:rsidP="00672B04">
      <w:pPr>
        <w:jc w:val="right"/>
        <w:rPr>
          <w:rFonts w:ascii="Candara" w:hAnsi="Candara"/>
        </w:rPr>
      </w:pPr>
    </w:p>
    <w:p w14:paraId="382295B5" w14:textId="77777777" w:rsidR="00672B04" w:rsidRPr="0016235B" w:rsidRDefault="00672B04" w:rsidP="00672B04">
      <w:pPr>
        <w:jc w:val="right"/>
        <w:rPr>
          <w:rFonts w:ascii="Candara" w:hAnsi="Candara"/>
        </w:rPr>
      </w:pPr>
    </w:p>
    <w:p w14:paraId="21D605EA" w14:textId="77777777" w:rsidR="00672B04" w:rsidRPr="0016235B" w:rsidRDefault="00672B04" w:rsidP="00672B04">
      <w:pPr>
        <w:jc w:val="right"/>
        <w:rPr>
          <w:rFonts w:ascii="Candara" w:hAnsi="Candara"/>
        </w:rPr>
      </w:pPr>
    </w:p>
    <w:p w14:paraId="2AADAE96" w14:textId="77777777" w:rsidR="00672B04" w:rsidRPr="0016235B" w:rsidRDefault="00672B04" w:rsidP="00672B04">
      <w:pPr>
        <w:jc w:val="right"/>
        <w:rPr>
          <w:rFonts w:ascii="Candara" w:hAnsi="Candara"/>
        </w:rPr>
      </w:pPr>
    </w:p>
    <w:p w14:paraId="640F7C65" w14:textId="77777777" w:rsidR="00672B04" w:rsidRPr="0016235B" w:rsidRDefault="00672B04" w:rsidP="00672B04">
      <w:pPr>
        <w:jc w:val="right"/>
        <w:rPr>
          <w:rFonts w:ascii="Candara" w:hAnsi="Candara"/>
        </w:rPr>
      </w:pPr>
    </w:p>
    <w:p w14:paraId="4124089B" w14:textId="77777777" w:rsidR="00672B04" w:rsidRPr="0016235B" w:rsidRDefault="00672B04" w:rsidP="00672B04">
      <w:pPr>
        <w:rPr>
          <w:rFonts w:ascii="Candara" w:hAnsi="Candara"/>
        </w:rPr>
      </w:pPr>
    </w:p>
    <w:p w14:paraId="1E6AFAF3" w14:textId="77777777" w:rsidR="00672B04" w:rsidRPr="0016235B" w:rsidRDefault="00672B04" w:rsidP="00672B04">
      <w:pPr>
        <w:jc w:val="right"/>
        <w:rPr>
          <w:rFonts w:ascii="Candara" w:hAnsi="Candara"/>
        </w:rPr>
      </w:pPr>
    </w:p>
    <w:p w14:paraId="32454021" w14:textId="77777777" w:rsidR="000473C6" w:rsidRPr="0016235B" w:rsidRDefault="000473C6">
      <w:pPr>
        <w:rPr>
          <w:rFonts w:ascii="Candara" w:eastAsiaTheme="majorEastAsia" w:hAnsi="Candara" w:cstheme="majorBidi"/>
          <w:b/>
          <w:color w:val="2F5496" w:themeColor="accent1" w:themeShade="BF"/>
          <w:sz w:val="28"/>
          <w:szCs w:val="28"/>
        </w:rPr>
      </w:pPr>
      <w:r w:rsidRPr="0016235B">
        <w:rPr>
          <w:rFonts w:ascii="Candara" w:hAnsi="Candara"/>
          <w:b/>
          <w:sz w:val="28"/>
          <w:szCs w:val="28"/>
        </w:rPr>
        <w:lastRenderedPageBreak/>
        <w:br w:type="page"/>
      </w:r>
    </w:p>
    <w:p w14:paraId="69CED519" w14:textId="3A6E3DCA" w:rsidR="00672B04" w:rsidRPr="0016235B" w:rsidRDefault="000B2A92" w:rsidP="005722F2">
      <w:pPr>
        <w:pStyle w:val="Heading2"/>
        <w:numPr>
          <w:ilvl w:val="1"/>
          <w:numId w:val="25"/>
        </w:numPr>
        <w:rPr>
          <w:rFonts w:ascii="Candara" w:hAnsi="Candara"/>
          <w:b/>
          <w:sz w:val="28"/>
          <w:szCs w:val="28"/>
        </w:rPr>
      </w:pPr>
      <w:bookmarkStart w:id="38" w:name="_Toc11494051"/>
      <w:r w:rsidRPr="0016235B">
        <w:rPr>
          <w:rFonts w:ascii="Candara" w:hAnsi="Candara"/>
          <w:b/>
          <w:sz w:val="28"/>
          <w:szCs w:val="28"/>
        </w:rPr>
        <w:lastRenderedPageBreak/>
        <w:t>Tuberculosis</w:t>
      </w:r>
      <w:bookmarkEnd w:id="38"/>
      <w:r w:rsidRPr="0016235B">
        <w:rPr>
          <w:rFonts w:ascii="Candara" w:hAnsi="Candara"/>
          <w:b/>
          <w:sz w:val="28"/>
          <w:szCs w:val="28"/>
        </w:rPr>
        <w:t xml:space="preserve"> </w:t>
      </w:r>
    </w:p>
    <w:p w14:paraId="22127A83" w14:textId="77777777" w:rsidR="000B2A92" w:rsidRPr="0016235B" w:rsidRDefault="000B2A92" w:rsidP="00672B04">
      <w:pPr>
        <w:rPr>
          <w:rFonts w:ascii="Candara" w:hAnsi="Candara" w:cs="Times New Roman"/>
        </w:rPr>
      </w:pPr>
    </w:p>
    <w:p w14:paraId="3ED1FDD1" w14:textId="3CE501AF" w:rsidR="00672B04" w:rsidRPr="0016235B" w:rsidRDefault="00672B04" w:rsidP="000B2A92">
      <w:pPr>
        <w:jc w:val="both"/>
        <w:rPr>
          <w:rFonts w:ascii="Candara" w:hAnsi="Candara" w:cs="Times New Roman"/>
          <w:sz w:val="24"/>
          <w:szCs w:val="24"/>
        </w:rPr>
      </w:pPr>
      <w:r w:rsidRPr="0016235B">
        <w:rPr>
          <w:rFonts w:ascii="Candara" w:hAnsi="Candara" w:cs="Times New Roman"/>
          <w:sz w:val="24"/>
          <w:szCs w:val="24"/>
        </w:rPr>
        <w:t xml:space="preserve">During the </w:t>
      </w:r>
      <w:r w:rsidR="000B2A92" w:rsidRPr="0016235B">
        <w:rPr>
          <w:rFonts w:ascii="Candara" w:hAnsi="Candara" w:cs="Times New Roman"/>
          <w:sz w:val="24"/>
          <w:szCs w:val="24"/>
        </w:rPr>
        <w:t xml:space="preserve">survey, </w:t>
      </w:r>
      <w:r w:rsidRPr="0016235B">
        <w:rPr>
          <w:rFonts w:ascii="Candara" w:hAnsi="Candara" w:cs="Times New Roman"/>
          <w:sz w:val="24"/>
          <w:szCs w:val="24"/>
        </w:rPr>
        <w:t xml:space="preserve">assessment of facilities with </w:t>
      </w:r>
      <w:r w:rsidR="000B2A92" w:rsidRPr="0016235B">
        <w:rPr>
          <w:rFonts w:ascii="Candara" w:hAnsi="Candara" w:cs="Times New Roman"/>
          <w:sz w:val="24"/>
          <w:szCs w:val="24"/>
        </w:rPr>
        <w:t>tuberculosis (TB)</w:t>
      </w:r>
      <w:r w:rsidRPr="0016235B">
        <w:rPr>
          <w:rFonts w:ascii="Candara" w:hAnsi="Candara" w:cs="Times New Roman"/>
          <w:sz w:val="24"/>
          <w:szCs w:val="24"/>
        </w:rPr>
        <w:t xml:space="preserve"> services focused on methods used to diagnose TB, availability of TB guidelines and staff training and availability of TB medicines in Health facilities.</w:t>
      </w:r>
    </w:p>
    <w:p w14:paraId="19031DAF" w14:textId="6280C8A6" w:rsidR="00672B04"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Percentage of facilities offering TB services (N=16</w:t>
      </w:r>
      <w:r w:rsidR="000B2A92"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2796857D" w14:textId="53F24AA7" w:rsidR="00672B04" w:rsidRPr="0016235B" w:rsidRDefault="000B2A92" w:rsidP="00672B04">
      <w:pPr>
        <w:rPr>
          <w:rFonts w:ascii="Candara" w:hAnsi="Candara"/>
          <w:b/>
        </w:rPr>
      </w:pPr>
      <w:r w:rsidRPr="0016235B">
        <w:rPr>
          <w:rFonts w:ascii="Candara" w:hAnsi="Candara"/>
          <w:noProof/>
        </w:rPr>
        <w:drawing>
          <wp:inline distT="0" distB="0" distL="0" distR="0" wp14:anchorId="1126C189" wp14:editId="744A0A00">
            <wp:extent cx="5867400" cy="3590925"/>
            <wp:effectExtent l="0" t="0" r="0" b="9525"/>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1285D2EB" w14:textId="77777777" w:rsidR="000B2A92" w:rsidRPr="0016235B" w:rsidRDefault="000B2A92" w:rsidP="00672B04">
      <w:pPr>
        <w:rPr>
          <w:rFonts w:ascii="Candara" w:hAnsi="Candara" w:cs="Times New Roman"/>
        </w:rPr>
      </w:pPr>
    </w:p>
    <w:p w14:paraId="62D1E273" w14:textId="77777777" w:rsidR="000473C6" w:rsidRPr="0016235B" w:rsidRDefault="000473C6" w:rsidP="000473C6">
      <w:pPr>
        <w:rPr>
          <w:rFonts w:ascii="Candara" w:hAnsi="Candara" w:cs="Times New Roman"/>
          <w:b/>
          <w:sz w:val="24"/>
          <w:szCs w:val="24"/>
        </w:rPr>
      </w:pPr>
      <w:r w:rsidRPr="0016235B">
        <w:rPr>
          <w:rFonts w:ascii="Candara" w:hAnsi="Candara" w:cs="Times New Roman"/>
          <w:b/>
          <w:sz w:val="24"/>
          <w:szCs w:val="24"/>
        </w:rPr>
        <w:t xml:space="preserve">Methods used to </w:t>
      </w:r>
      <w:proofErr w:type="spellStart"/>
      <w:r w:rsidRPr="0016235B">
        <w:rPr>
          <w:rFonts w:ascii="Candara" w:hAnsi="Candara" w:cs="Times New Roman"/>
          <w:b/>
          <w:sz w:val="24"/>
          <w:szCs w:val="24"/>
        </w:rPr>
        <w:t>diagonise</w:t>
      </w:r>
      <w:proofErr w:type="spellEnd"/>
      <w:r w:rsidRPr="0016235B">
        <w:rPr>
          <w:rFonts w:ascii="Candara" w:hAnsi="Candara" w:cs="Times New Roman"/>
          <w:b/>
          <w:sz w:val="24"/>
          <w:szCs w:val="24"/>
        </w:rPr>
        <w:t xml:space="preserve"> TB by facilities (N=53)</w:t>
      </w:r>
    </w:p>
    <w:p w14:paraId="28E951B6" w14:textId="77777777" w:rsidR="000473C6" w:rsidRPr="0016235B" w:rsidRDefault="000473C6" w:rsidP="000473C6">
      <w:pPr>
        <w:rPr>
          <w:rFonts w:ascii="Candara" w:hAnsi="Candara"/>
          <w:b/>
        </w:rPr>
      </w:pPr>
      <w:r w:rsidRPr="0016235B">
        <w:rPr>
          <w:rFonts w:ascii="Candara" w:hAnsi="Candara"/>
          <w:noProof/>
        </w:rPr>
        <w:drawing>
          <wp:inline distT="0" distB="0" distL="0" distR="0" wp14:anchorId="19F0773B" wp14:editId="53CB25F2">
            <wp:extent cx="5410200" cy="3390900"/>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799416D1" w14:textId="77777777" w:rsidR="00364CA3" w:rsidRPr="0016235B" w:rsidRDefault="00364CA3" w:rsidP="00364CA3">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Percentage of facilities offering TB services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(N=166)</w:t>
      </w:r>
    </w:p>
    <w:p w14:paraId="2EADA1F4" w14:textId="4B5BC5CE" w:rsidR="00364CA3" w:rsidRPr="0016235B" w:rsidRDefault="00364CA3" w:rsidP="00672B04">
      <w:pPr>
        <w:rPr>
          <w:rFonts w:ascii="Candara" w:hAnsi="Candara" w:cs="Times New Roman"/>
        </w:rPr>
      </w:pPr>
      <w:r w:rsidRPr="0016235B">
        <w:rPr>
          <w:rFonts w:ascii="Candara" w:hAnsi="Candara"/>
          <w:noProof/>
        </w:rPr>
        <w:drawing>
          <wp:inline distT="0" distB="0" distL="0" distR="0" wp14:anchorId="1AC0524B" wp14:editId="5BB61D92">
            <wp:extent cx="5819775" cy="3905250"/>
            <wp:effectExtent l="0" t="0" r="9525" b="0"/>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562ADFB0" w14:textId="77777777" w:rsidR="00364CA3" w:rsidRPr="0016235B" w:rsidRDefault="00364CA3" w:rsidP="00672B04">
      <w:pPr>
        <w:rPr>
          <w:rFonts w:ascii="Candara" w:hAnsi="Candara" w:cs="Times New Roman"/>
        </w:rPr>
      </w:pPr>
    </w:p>
    <w:p w14:paraId="51373853" w14:textId="1AF97C79" w:rsidR="00672B04" w:rsidRPr="0016235B" w:rsidRDefault="007C79C5" w:rsidP="00672B04">
      <w:pPr>
        <w:rPr>
          <w:rFonts w:ascii="Candara" w:hAnsi="Candara"/>
          <w:b/>
        </w:rPr>
      </w:pPr>
      <w:r w:rsidRPr="0016235B">
        <w:rPr>
          <w:rFonts w:ascii="Candara" w:hAnsi="Candara" w:cs="Times New Roman"/>
          <w:b/>
          <w:sz w:val="24"/>
          <w:szCs w:val="24"/>
        </w:rPr>
        <w:t>Percent of facilities with guidelines and trained staff among facilities that provide this service (N=53)</w:t>
      </w:r>
      <w:r w:rsidR="000B2A92" w:rsidRPr="0016235B">
        <w:rPr>
          <w:rFonts w:ascii="Candara" w:hAnsi="Candara"/>
          <w:noProof/>
        </w:rPr>
        <w:drawing>
          <wp:inline distT="0" distB="0" distL="0" distR="0" wp14:anchorId="5ACA8077" wp14:editId="0BCF5E54">
            <wp:extent cx="5905500" cy="3943350"/>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53BAB737" w14:textId="77777777" w:rsidR="00857CAA" w:rsidRPr="0016235B" w:rsidRDefault="00857CAA">
      <w:pPr>
        <w:rPr>
          <w:rFonts w:ascii="Candara" w:eastAsia="Times New Roman" w:hAnsi="Candara" w:cs="Times New Roman"/>
          <w:bCs/>
          <w:lang w:eastAsia="en-GB"/>
        </w:rPr>
      </w:pPr>
    </w:p>
    <w:tbl>
      <w:tblPr>
        <w:tblStyle w:val="TableGrid"/>
        <w:tblW w:w="9535" w:type="dxa"/>
        <w:tblLook w:val="04A0" w:firstRow="1" w:lastRow="0" w:firstColumn="1" w:lastColumn="0" w:noHBand="0" w:noVBand="1"/>
      </w:tblPr>
      <w:tblGrid>
        <w:gridCol w:w="9535"/>
      </w:tblGrid>
      <w:tr w:rsidR="000627A1" w:rsidRPr="0016235B" w14:paraId="451DA5EF" w14:textId="77777777" w:rsidTr="00244BC6">
        <w:trPr>
          <w:trHeight w:val="262"/>
        </w:trPr>
        <w:tc>
          <w:tcPr>
            <w:tcW w:w="9535" w:type="dxa"/>
          </w:tcPr>
          <w:p w14:paraId="723A6410" w14:textId="77777777" w:rsidR="000627A1" w:rsidRPr="0016235B" w:rsidRDefault="000627A1" w:rsidP="00244BC6">
            <w:pPr>
              <w:rPr>
                <w:rFonts w:ascii="Candara" w:hAnsi="Candara"/>
                <w:b/>
              </w:rPr>
            </w:pPr>
            <w:r w:rsidRPr="0016235B">
              <w:rPr>
                <w:rFonts w:ascii="Candara" w:hAnsi="Candara"/>
                <w:b/>
              </w:rPr>
              <w:t>Key findings</w:t>
            </w:r>
          </w:p>
        </w:tc>
      </w:tr>
      <w:tr w:rsidR="000627A1" w:rsidRPr="0016235B" w14:paraId="50F5C176" w14:textId="77777777" w:rsidTr="00244BC6">
        <w:trPr>
          <w:trHeight w:val="2222"/>
        </w:trPr>
        <w:tc>
          <w:tcPr>
            <w:tcW w:w="9535" w:type="dxa"/>
          </w:tcPr>
          <w:p w14:paraId="1D739FDD" w14:textId="77777777" w:rsidR="000627A1" w:rsidRPr="0016235B" w:rsidRDefault="000627A1" w:rsidP="00244BC6">
            <w:pPr>
              <w:jc w:val="both"/>
              <w:rPr>
                <w:rFonts w:ascii="Candara" w:hAnsi="Candara" w:cs="Times New Roman"/>
                <w:b/>
              </w:rPr>
            </w:pPr>
          </w:p>
          <w:p w14:paraId="77C8932F" w14:textId="26098010"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Overall, 32% of the facilities offer</w:t>
            </w:r>
            <w:r w:rsidR="00190218">
              <w:rPr>
                <w:rFonts w:ascii="Candara" w:hAnsi="Candara" w:cs="Times New Roman"/>
              </w:rPr>
              <w:t>ed</w:t>
            </w:r>
            <w:r w:rsidRPr="0016235B">
              <w:rPr>
                <w:rFonts w:ascii="Candara" w:hAnsi="Candara" w:cs="Times New Roman"/>
              </w:rPr>
              <w:t xml:space="preserve"> TB services, with 94% of them providing management and treatment follow up for TB patients</w:t>
            </w:r>
          </w:p>
          <w:p w14:paraId="64C3713A" w14:textId="267764AD"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Nearly all of them (99%) ha</w:t>
            </w:r>
            <w:r w:rsidR="00190218">
              <w:rPr>
                <w:rFonts w:ascii="Candara" w:hAnsi="Candara" w:cs="Times New Roman"/>
              </w:rPr>
              <w:t>d</w:t>
            </w:r>
            <w:r w:rsidRPr="0016235B">
              <w:rPr>
                <w:rFonts w:ascii="Candara" w:hAnsi="Candara" w:cs="Times New Roman"/>
              </w:rPr>
              <w:t xml:space="preserve"> a system of diagnosing and screening TB </w:t>
            </w:r>
          </w:p>
          <w:p w14:paraId="38DBA15A" w14:textId="2C8EFA13"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 xml:space="preserve">Diagnosis of TB through sputum smear </w:t>
            </w:r>
            <w:r w:rsidR="00190218">
              <w:rPr>
                <w:rFonts w:ascii="Candara" w:hAnsi="Candara" w:cs="Times New Roman"/>
              </w:rPr>
              <w:t>wa</w:t>
            </w:r>
            <w:r w:rsidRPr="0016235B">
              <w:rPr>
                <w:rFonts w:ascii="Candara" w:hAnsi="Candara" w:cs="Times New Roman"/>
              </w:rPr>
              <w:t xml:space="preserve">s at 87% as observed, while culture which </w:t>
            </w:r>
            <w:r w:rsidR="00190218">
              <w:rPr>
                <w:rFonts w:ascii="Candara" w:hAnsi="Candara" w:cs="Times New Roman"/>
              </w:rPr>
              <w:t>wa</w:t>
            </w:r>
            <w:r w:rsidRPr="0016235B">
              <w:rPr>
                <w:rFonts w:ascii="Candara" w:hAnsi="Candara" w:cs="Times New Roman"/>
              </w:rPr>
              <w:t xml:space="preserve">s mainly done at higher level facilities </w:t>
            </w:r>
            <w:r w:rsidR="00190218">
              <w:rPr>
                <w:rFonts w:ascii="Candara" w:hAnsi="Candara" w:cs="Times New Roman"/>
              </w:rPr>
              <w:t>wa</w:t>
            </w:r>
            <w:r w:rsidRPr="0016235B">
              <w:rPr>
                <w:rFonts w:ascii="Candara" w:hAnsi="Candara" w:cs="Times New Roman"/>
              </w:rPr>
              <w:t>s the least used method for diagnosing TB at 35%</w:t>
            </w:r>
          </w:p>
          <w:p w14:paraId="5CC9C705" w14:textId="77777777"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 xml:space="preserve">Availability of TB-HIV guidelines was high and the least available was the programmatic management of drug resistant guidelines </w:t>
            </w:r>
          </w:p>
          <w:p w14:paraId="43E4F60A" w14:textId="53DA34E3"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 xml:space="preserve">Public health facilities </w:t>
            </w:r>
            <w:r w:rsidR="00190218">
              <w:rPr>
                <w:rFonts w:ascii="Candara" w:hAnsi="Candara" w:cs="Times New Roman"/>
              </w:rPr>
              <w:t>we</w:t>
            </w:r>
            <w:r w:rsidRPr="0016235B">
              <w:rPr>
                <w:rFonts w:ascii="Candara" w:hAnsi="Candara" w:cs="Times New Roman"/>
              </w:rPr>
              <w:t>re</w:t>
            </w:r>
            <w:r w:rsidR="007351E8">
              <w:rPr>
                <w:rFonts w:ascii="Candara" w:hAnsi="Candara" w:cs="Times New Roman"/>
              </w:rPr>
              <w:t xml:space="preserve"> more than</w:t>
            </w:r>
            <w:r w:rsidRPr="0016235B">
              <w:rPr>
                <w:rFonts w:ascii="Candara" w:hAnsi="Candara" w:cs="Times New Roman"/>
              </w:rPr>
              <w:t xml:space="preserve"> twice (46%) likely to offer TB services than private (19%)</w:t>
            </w:r>
          </w:p>
          <w:p w14:paraId="41BFB4B3" w14:textId="22B7867B"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 xml:space="preserve">All regional hospitals offered TB services 100%, followed by HC IV (82%) which were higher than general hospitals (67%) and the least </w:t>
            </w:r>
            <w:r w:rsidR="007351E8">
              <w:rPr>
                <w:rFonts w:ascii="Candara" w:hAnsi="Candara" w:cs="Times New Roman"/>
              </w:rPr>
              <w:t>were</w:t>
            </w:r>
            <w:r w:rsidRPr="0016235B">
              <w:rPr>
                <w:rFonts w:ascii="Candara" w:hAnsi="Candara" w:cs="Times New Roman"/>
              </w:rPr>
              <w:t xml:space="preserve"> HCII </w:t>
            </w:r>
            <w:r w:rsidR="007351E8">
              <w:rPr>
                <w:rFonts w:ascii="Candara" w:hAnsi="Candara" w:cs="Times New Roman"/>
              </w:rPr>
              <w:t>at (</w:t>
            </w:r>
            <w:r w:rsidRPr="0016235B">
              <w:rPr>
                <w:rFonts w:ascii="Candara" w:hAnsi="Candara" w:cs="Times New Roman"/>
              </w:rPr>
              <w:t>15%</w:t>
            </w:r>
            <w:r w:rsidR="007351E8">
              <w:rPr>
                <w:rFonts w:ascii="Candara" w:hAnsi="Candara" w:cs="Times New Roman"/>
              </w:rPr>
              <w:t>)</w:t>
            </w:r>
          </w:p>
          <w:p w14:paraId="72841369" w14:textId="2ED76669"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 xml:space="preserve">Rural health facilities offered the highest TB services at 35% compared with Urban health Facilities </w:t>
            </w:r>
            <w:r w:rsidR="008B3482" w:rsidRPr="0016235B">
              <w:rPr>
                <w:rFonts w:ascii="Candara" w:hAnsi="Candara" w:cs="Times New Roman"/>
              </w:rPr>
              <w:t>at 29</w:t>
            </w:r>
            <w:r w:rsidRPr="0016235B">
              <w:rPr>
                <w:rFonts w:ascii="Candara" w:hAnsi="Candara" w:cs="Times New Roman"/>
              </w:rPr>
              <w:t>%</w:t>
            </w:r>
          </w:p>
          <w:p w14:paraId="4FE9A1EC" w14:textId="1C577AFB" w:rsidR="000627A1" w:rsidRPr="0016235B" w:rsidRDefault="000627A1" w:rsidP="005722F2">
            <w:pPr>
              <w:pStyle w:val="ListParagraph"/>
              <w:numPr>
                <w:ilvl w:val="0"/>
                <w:numId w:val="21"/>
              </w:numPr>
              <w:spacing w:after="120" w:line="264" w:lineRule="auto"/>
              <w:jc w:val="both"/>
              <w:rPr>
                <w:rFonts w:ascii="Candara" w:hAnsi="Candara" w:cs="Times New Roman"/>
              </w:rPr>
            </w:pPr>
            <w:r w:rsidRPr="0016235B">
              <w:rPr>
                <w:rFonts w:ascii="Candara" w:hAnsi="Candara" w:cs="Times New Roman"/>
              </w:rPr>
              <w:t xml:space="preserve">In terms of health </w:t>
            </w:r>
            <w:r w:rsidR="008B3482" w:rsidRPr="0016235B">
              <w:rPr>
                <w:rFonts w:ascii="Candara" w:hAnsi="Candara" w:cs="Times New Roman"/>
              </w:rPr>
              <w:t>regions, Mid</w:t>
            </w:r>
            <w:r w:rsidRPr="0016235B">
              <w:rPr>
                <w:rFonts w:ascii="Candara" w:hAnsi="Candara" w:cs="Times New Roman"/>
              </w:rPr>
              <w:t>-North offered the highest percentage of TB services 50</w:t>
            </w:r>
            <w:r w:rsidR="007351E8" w:rsidRPr="0016235B">
              <w:rPr>
                <w:rFonts w:ascii="Candara" w:hAnsi="Candara" w:cs="Times New Roman"/>
              </w:rPr>
              <w:t>%,</w:t>
            </w:r>
            <w:r w:rsidRPr="0016235B">
              <w:rPr>
                <w:rFonts w:ascii="Candara" w:hAnsi="Candara" w:cs="Times New Roman"/>
              </w:rPr>
              <w:t xml:space="preserve"> followed by South-West </w:t>
            </w:r>
            <w:r w:rsidR="007351E8">
              <w:rPr>
                <w:rFonts w:ascii="Candara" w:hAnsi="Candara" w:cs="Times New Roman"/>
              </w:rPr>
              <w:t xml:space="preserve">at </w:t>
            </w:r>
            <w:r w:rsidRPr="0016235B">
              <w:rPr>
                <w:rFonts w:ascii="Candara" w:hAnsi="Candara" w:cs="Times New Roman"/>
              </w:rPr>
              <w:t xml:space="preserve">45% and the least </w:t>
            </w:r>
            <w:r w:rsidR="007351E8">
              <w:rPr>
                <w:rFonts w:ascii="Candara" w:hAnsi="Candara" w:cs="Times New Roman"/>
              </w:rPr>
              <w:t>were</w:t>
            </w:r>
            <w:r w:rsidRPr="0016235B">
              <w:rPr>
                <w:rFonts w:ascii="Candara" w:hAnsi="Candara" w:cs="Times New Roman"/>
              </w:rPr>
              <w:t xml:space="preserve"> Kampala and Karamoja at 18% and 13% respectively</w:t>
            </w:r>
          </w:p>
        </w:tc>
      </w:tr>
    </w:tbl>
    <w:p w14:paraId="4BD9974C" w14:textId="0FF6948E" w:rsidR="00672B04" w:rsidRPr="0016235B" w:rsidRDefault="00672B04" w:rsidP="00672B04">
      <w:pPr>
        <w:pStyle w:val="ListParagraph"/>
        <w:rPr>
          <w:rFonts w:ascii="Candara" w:hAnsi="Candara"/>
          <w:b/>
        </w:rPr>
      </w:pPr>
    </w:p>
    <w:p w14:paraId="3E001822" w14:textId="77777777" w:rsidR="00926AFE" w:rsidRPr="0016235B" w:rsidRDefault="00926AFE" w:rsidP="00672B04">
      <w:pPr>
        <w:pStyle w:val="ListParagraph"/>
        <w:rPr>
          <w:rFonts w:ascii="Candara" w:hAnsi="Candara"/>
          <w:b/>
        </w:rPr>
      </w:pPr>
    </w:p>
    <w:p w14:paraId="27132E2F" w14:textId="77777777" w:rsidR="00926AFE" w:rsidRPr="0016235B" w:rsidRDefault="00926AFE" w:rsidP="00672B04">
      <w:pPr>
        <w:pStyle w:val="ListParagraph"/>
        <w:rPr>
          <w:rFonts w:ascii="Candara" w:hAnsi="Candara"/>
          <w:b/>
        </w:rPr>
      </w:pPr>
    </w:p>
    <w:p w14:paraId="09126F0B" w14:textId="153AF621" w:rsidR="00672B04" w:rsidRPr="0016235B" w:rsidRDefault="00CB2995" w:rsidP="005722F2">
      <w:pPr>
        <w:pStyle w:val="Heading2"/>
        <w:numPr>
          <w:ilvl w:val="1"/>
          <w:numId w:val="25"/>
        </w:numPr>
        <w:rPr>
          <w:rFonts w:ascii="Candara" w:hAnsi="Candara"/>
          <w:b/>
          <w:sz w:val="28"/>
          <w:szCs w:val="28"/>
        </w:rPr>
      </w:pPr>
      <w:bookmarkStart w:id="39" w:name="_Toc11494052"/>
      <w:r w:rsidRPr="0016235B">
        <w:rPr>
          <w:rFonts w:ascii="Candara" w:hAnsi="Candara"/>
          <w:b/>
          <w:sz w:val="28"/>
          <w:szCs w:val="28"/>
        </w:rPr>
        <w:t>Essential Medicines for Children</w:t>
      </w:r>
      <w:bookmarkEnd w:id="39"/>
    </w:p>
    <w:p w14:paraId="60717F39" w14:textId="77777777" w:rsidR="00442CC1" w:rsidRPr="0016235B" w:rsidRDefault="00442CC1" w:rsidP="00672B04">
      <w:pPr>
        <w:spacing w:after="0" w:line="240" w:lineRule="auto"/>
        <w:rPr>
          <w:rFonts w:ascii="Candara" w:eastAsia="Times New Roman" w:hAnsi="Candara" w:cs="Times New Roman"/>
          <w:bCs/>
          <w:lang w:eastAsia="en-GB"/>
        </w:rPr>
      </w:pPr>
    </w:p>
    <w:p w14:paraId="1200FD19" w14:textId="77777777" w:rsidR="00CB2995" w:rsidRPr="0016235B" w:rsidRDefault="00CB2995" w:rsidP="00672B04">
      <w:pPr>
        <w:spacing w:after="0" w:line="240" w:lineRule="auto"/>
        <w:rPr>
          <w:rFonts w:ascii="Candara" w:eastAsia="Times New Roman" w:hAnsi="Candara" w:cs="Times New Roman"/>
          <w:bCs/>
          <w:lang w:eastAsia="en-GB"/>
        </w:rPr>
      </w:pPr>
    </w:p>
    <w:p w14:paraId="4AFA68E5" w14:textId="680C1271" w:rsidR="00CB2995" w:rsidRPr="0016235B" w:rsidRDefault="00CB2995" w:rsidP="00CB2995">
      <w:pPr>
        <w:spacing w:after="0" w:line="240" w:lineRule="auto"/>
        <w:jc w:val="both"/>
        <w:rPr>
          <w:rFonts w:ascii="Candara" w:eastAsia="Times New Roman" w:hAnsi="Candara" w:cs="Times New Roman"/>
          <w:bCs/>
          <w:sz w:val="24"/>
          <w:szCs w:val="24"/>
          <w:lang w:eastAsia="en-GB"/>
        </w:rPr>
      </w:pPr>
      <w:r w:rsidRPr="0016235B">
        <w:rPr>
          <w:rFonts w:ascii="Candara" w:hAnsi="Candara"/>
          <w:sz w:val="24"/>
          <w:szCs w:val="24"/>
        </w:rPr>
        <w:t>Health facilities were assessed for the presence of nine essential tracer medicines for children, as well as stock out of these medicines in the 3 months preceding the survey.</w:t>
      </w:r>
    </w:p>
    <w:p w14:paraId="0396F79B" w14:textId="77777777" w:rsidR="00CB2995" w:rsidRPr="0016235B" w:rsidRDefault="00CB2995" w:rsidP="00672B04">
      <w:pPr>
        <w:spacing w:after="0" w:line="240" w:lineRule="auto"/>
        <w:rPr>
          <w:rFonts w:ascii="Candara" w:eastAsia="Times New Roman" w:hAnsi="Candara" w:cs="Times New Roman"/>
          <w:bCs/>
          <w:lang w:eastAsia="en-GB"/>
        </w:rPr>
      </w:pPr>
    </w:p>
    <w:p w14:paraId="233AAB46" w14:textId="25296335" w:rsidR="00672B04"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Percentage of facilities with essential medicines for children (N=16</w:t>
      </w:r>
      <w:r w:rsidR="00CB2995"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1CC971B3" w14:textId="31AA4B98" w:rsidR="00672B04" w:rsidRPr="0016235B" w:rsidRDefault="00442CC1" w:rsidP="00672B04">
      <w:pPr>
        <w:rPr>
          <w:rFonts w:ascii="Candara" w:hAnsi="Candara"/>
          <w:b/>
        </w:rPr>
      </w:pPr>
      <w:r w:rsidRPr="0016235B">
        <w:rPr>
          <w:rFonts w:ascii="Candara" w:hAnsi="Candara"/>
          <w:noProof/>
        </w:rPr>
        <w:drawing>
          <wp:inline distT="0" distB="0" distL="0" distR="0" wp14:anchorId="6D22C59B" wp14:editId="0C1B201F">
            <wp:extent cx="5800725" cy="3533775"/>
            <wp:effectExtent l="0" t="0" r="9525" b="9525"/>
            <wp:docPr id="68" name="Chart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771BAEA0" w14:textId="77777777" w:rsidR="00672B04" w:rsidRPr="0016235B" w:rsidRDefault="00672B04" w:rsidP="00672B04">
      <w:pPr>
        <w:rPr>
          <w:rFonts w:ascii="Candara" w:hAnsi="Candara"/>
          <w:b/>
        </w:rPr>
      </w:pPr>
    </w:p>
    <w:p w14:paraId="1B9086C4" w14:textId="77777777" w:rsidR="00926AFE" w:rsidRPr="0016235B" w:rsidRDefault="00926AFE" w:rsidP="00672B04">
      <w:pPr>
        <w:rPr>
          <w:rFonts w:ascii="Candara" w:hAnsi="Candara"/>
          <w:b/>
        </w:rPr>
      </w:pPr>
    </w:p>
    <w:p w14:paraId="1290474E" w14:textId="5CE755AD" w:rsidR="00672B04"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Mean availability of essential medicines for children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(N=16</w:t>
      </w:r>
      <w:r w:rsidR="00CB2995"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1C570159" w14:textId="1998F0BD" w:rsidR="00FE60D8" w:rsidRPr="0016235B" w:rsidRDefault="009B5FCA" w:rsidP="005D2E87">
      <w:pPr>
        <w:rPr>
          <w:rFonts w:ascii="Candara" w:hAnsi="Candara"/>
          <w:b/>
        </w:rPr>
      </w:pPr>
      <w:r w:rsidRPr="0016235B">
        <w:rPr>
          <w:rFonts w:ascii="Candara" w:hAnsi="Candara"/>
          <w:noProof/>
        </w:rPr>
        <w:drawing>
          <wp:inline distT="0" distB="0" distL="0" distR="0" wp14:anchorId="1B585097" wp14:editId="1B7DB2E4">
            <wp:extent cx="5857875" cy="3800475"/>
            <wp:effectExtent l="0" t="0" r="9525" b="9525"/>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30D88B93" w14:textId="77777777" w:rsidR="009B5FCA" w:rsidRPr="0016235B" w:rsidRDefault="009B5FCA" w:rsidP="005D2E87">
      <w:pPr>
        <w:rPr>
          <w:rFonts w:ascii="Candara" w:hAnsi="Candara"/>
          <w:b/>
        </w:rPr>
      </w:pPr>
    </w:p>
    <w:p w14:paraId="73FC870E" w14:textId="166EABDD" w:rsidR="009B5FCA" w:rsidRPr="0016235B" w:rsidRDefault="009B5FCA" w:rsidP="005D2E87">
      <w:pPr>
        <w:rPr>
          <w:rFonts w:ascii="Candara" w:hAnsi="Candara"/>
          <w:b/>
        </w:rPr>
      </w:pPr>
      <w:r w:rsidRPr="0016235B">
        <w:rPr>
          <w:rFonts w:ascii="Candara" w:hAnsi="Candara"/>
          <w:b/>
        </w:rPr>
        <w:t>Percent of facilities which experienced a stock-out of essential medicines for children in the past 3 months</w:t>
      </w:r>
    </w:p>
    <w:p w14:paraId="440F8564" w14:textId="71DD4BC2" w:rsidR="009B5FCA" w:rsidRPr="0016235B" w:rsidRDefault="009B5FCA" w:rsidP="005D2E87">
      <w:pPr>
        <w:rPr>
          <w:rFonts w:ascii="Candara" w:hAnsi="Candara"/>
          <w:b/>
        </w:rPr>
      </w:pPr>
      <w:r w:rsidRPr="0016235B">
        <w:rPr>
          <w:rFonts w:ascii="Candara" w:hAnsi="Candara"/>
          <w:noProof/>
        </w:rPr>
        <w:drawing>
          <wp:inline distT="0" distB="0" distL="0" distR="0" wp14:anchorId="51B03A9A" wp14:editId="732BEBD5">
            <wp:extent cx="5391150" cy="3095625"/>
            <wp:effectExtent l="0" t="0" r="0" b="9525"/>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227D2E4A" w14:textId="77777777" w:rsidR="009B5FCA" w:rsidRPr="0016235B" w:rsidRDefault="009B5FCA" w:rsidP="005D2E87">
      <w:pPr>
        <w:rPr>
          <w:rFonts w:ascii="Candara" w:hAnsi="Candara"/>
          <w:b/>
        </w:rPr>
      </w:pPr>
    </w:p>
    <w:p w14:paraId="65E974CD" w14:textId="77777777" w:rsidR="000473C6" w:rsidRPr="0016235B" w:rsidRDefault="000473C6" w:rsidP="005D2E87">
      <w:pPr>
        <w:rPr>
          <w:rFonts w:ascii="Candara" w:hAnsi="Candara"/>
          <w:b/>
        </w:rPr>
      </w:pPr>
    </w:p>
    <w:p w14:paraId="4266D68B" w14:textId="77777777" w:rsidR="000473C6" w:rsidRPr="0016235B" w:rsidRDefault="000473C6" w:rsidP="005D2E87">
      <w:pPr>
        <w:rPr>
          <w:rFonts w:ascii="Candara" w:hAnsi="Candara"/>
          <w:b/>
        </w:rPr>
      </w:pPr>
    </w:p>
    <w:p w14:paraId="7E4173C0" w14:textId="77777777" w:rsidR="000473C6" w:rsidRPr="0016235B" w:rsidRDefault="000473C6" w:rsidP="005D2E87">
      <w:pPr>
        <w:rPr>
          <w:rFonts w:ascii="Candara" w:hAnsi="Candara"/>
          <w:b/>
        </w:rPr>
      </w:pPr>
    </w:p>
    <w:tbl>
      <w:tblPr>
        <w:tblStyle w:val="TableGrid"/>
        <w:tblW w:w="9355" w:type="dxa"/>
        <w:tblLook w:val="04A0" w:firstRow="1" w:lastRow="0" w:firstColumn="1" w:lastColumn="0" w:noHBand="0" w:noVBand="1"/>
      </w:tblPr>
      <w:tblGrid>
        <w:gridCol w:w="9355"/>
      </w:tblGrid>
      <w:tr w:rsidR="003C6847" w:rsidRPr="0016235B" w14:paraId="0FDF0AEA" w14:textId="77777777" w:rsidTr="001D2897">
        <w:trPr>
          <w:trHeight w:val="262"/>
        </w:trPr>
        <w:tc>
          <w:tcPr>
            <w:tcW w:w="9355" w:type="dxa"/>
          </w:tcPr>
          <w:p w14:paraId="21A69CEE" w14:textId="77777777" w:rsidR="003C6847" w:rsidRPr="0016235B" w:rsidRDefault="003C6847" w:rsidP="00397C88">
            <w:pPr>
              <w:rPr>
                <w:rFonts w:ascii="Candara" w:hAnsi="Candara"/>
                <w:b/>
              </w:rPr>
            </w:pPr>
            <w:r w:rsidRPr="0016235B">
              <w:rPr>
                <w:rFonts w:ascii="Candara" w:hAnsi="Candara"/>
                <w:b/>
              </w:rPr>
              <w:t>Key findings</w:t>
            </w:r>
          </w:p>
        </w:tc>
      </w:tr>
      <w:tr w:rsidR="003C6847" w:rsidRPr="0016235B" w14:paraId="00FC0014" w14:textId="77777777" w:rsidTr="001D2897">
        <w:trPr>
          <w:trHeight w:val="2663"/>
        </w:trPr>
        <w:tc>
          <w:tcPr>
            <w:tcW w:w="9355" w:type="dxa"/>
          </w:tcPr>
          <w:p w14:paraId="43809F33" w14:textId="62D8F543" w:rsidR="00A71971" w:rsidRPr="0016235B" w:rsidRDefault="00A71971" w:rsidP="001D2897">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Of the nine tracer essential medicines for children assessed, facilities on average had 5 (61%)</w:t>
            </w:r>
          </w:p>
          <w:p w14:paraId="330BB2D9" w14:textId="7CC7B29F" w:rsidR="00A71971" w:rsidRPr="0016235B" w:rsidRDefault="00A71971" w:rsidP="001D2897">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Only 12% of the facilities had all the nine tracer essential medicines for children</w:t>
            </w:r>
          </w:p>
          <w:p w14:paraId="141C7B58" w14:textId="180B3597" w:rsidR="00A71971" w:rsidRPr="0016235B" w:rsidRDefault="00A71971" w:rsidP="001D2897">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The most available commodity was ORS sachets in 86% of the facilities. Cotrimoxazole syrup/suspension and paracetamol syrup/suspension were the least available in 41% and 38% of facilities, respectively</w:t>
            </w:r>
          </w:p>
          <w:p w14:paraId="3C6B35B6" w14:textId="196214C2" w:rsidR="00415A30" w:rsidRPr="0016235B" w:rsidRDefault="00415A30" w:rsidP="001D2897">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Generally, just under two thirds of the facilities regionally had essential medicines for children. Mid-North had 68% </w:t>
            </w:r>
            <w:r w:rsidR="008B3482" w:rsidRPr="0016235B">
              <w:rPr>
                <w:rFonts w:ascii="Candara" w:hAnsi="Candara" w:cs="Times New Roman"/>
              </w:rPr>
              <w:t>of facilities</w:t>
            </w:r>
            <w:r w:rsidRPr="0016235B">
              <w:rPr>
                <w:rFonts w:ascii="Candara" w:hAnsi="Candara" w:cs="Times New Roman"/>
              </w:rPr>
              <w:t>, followed by Central 2 with 67% and least in Karamoja at 34%</w:t>
            </w:r>
          </w:p>
          <w:p w14:paraId="038BEE23" w14:textId="2C62B5D3" w:rsidR="00415A30" w:rsidRPr="0016235B" w:rsidRDefault="00415A30" w:rsidP="001D2897">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Essential medicines for children were more available in private (59%) than public (</w:t>
            </w:r>
            <w:r w:rsidR="001D2897" w:rsidRPr="0016235B">
              <w:rPr>
                <w:rFonts w:ascii="Candara" w:hAnsi="Candara" w:cs="Times New Roman"/>
              </w:rPr>
              <w:t>51%</w:t>
            </w:r>
            <w:r w:rsidRPr="0016235B">
              <w:rPr>
                <w:rFonts w:ascii="Candara" w:hAnsi="Candara" w:cs="Times New Roman"/>
              </w:rPr>
              <w:t>) facilities</w:t>
            </w:r>
          </w:p>
          <w:p w14:paraId="2B81FA49" w14:textId="591CDE26" w:rsidR="001D2897" w:rsidRPr="0016235B" w:rsidRDefault="001D2897" w:rsidP="001D2897">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There was a slight difference between facilities with medicines in rural (54%) and urban (58%) areas</w:t>
            </w:r>
          </w:p>
          <w:p w14:paraId="7B1D76A0" w14:textId="1CFDC7D7" w:rsidR="00F83DE9" w:rsidRPr="0016235B" w:rsidRDefault="00415A30" w:rsidP="001D2897">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In the 3 months preceding the survey,</w:t>
            </w:r>
            <w:r w:rsidR="00F83DE9" w:rsidRPr="0016235B">
              <w:rPr>
                <w:rFonts w:ascii="Candara" w:hAnsi="Candara" w:cs="Times New Roman"/>
              </w:rPr>
              <w:t xml:space="preserve"> amoxicillin tablet/syrup </w:t>
            </w:r>
            <w:r w:rsidRPr="0016235B">
              <w:rPr>
                <w:rFonts w:ascii="Candara" w:hAnsi="Candara" w:cs="Times New Roman"/>
              </w:rPr>
              <w:t>(59%) was the most stocked out medicine</w:t>
            </w:r>
            <w:r w:rsidR="00F83DE9" w:rsidRPr="0016235B">
              <w:rPr>
                <w:rFonts w:ascii="Candara" w:hAnsi="Candara" w:cs="Times New Roman"/>
              </w:rPr>
              <w:t xml:space="preserve"> and leas</w:t>
            </w:r>
            <w:r w:rsidRPr="0016235B">
              <w:rPr>
                <w:rFonts w:ascii="Candara" w:hAnsi="Candara" w:cs="Times New Roman"/>
              </w:rPr>
              <w:t>t</w:t>
            </w:r>
            <w:r w:rsidR="00F83DE9" w:rsidRPr="0016235B">
              <w:rPr>
                <w:rFonts w:ascii="Candara" w:hAnsi="Candara" w:cs="Times New Roman"/>
              </w:rPr>
              <w:t xml:space="preserve"> was ORS sachets </w:t>
            </w:r>
            <w:r w:rsidRPr="0016235B">
              <w:rPr>
                <w:rFonts w:ascii="Candara" w:hAnsi="Candara" w:cs="Times New Roman"/>
              </w:rPr>
              <w:t>in</w:t>
            </w:r>
            <w:r w:rsidR="00F83DE9" w:rsidRPr="0016235B">
              <w:rPr>
                <w:rFonts w:ascii="Candara" w:hAnsi="Candara" w:cs="Times New Roman"/>
              </w:rPr>
              <w:t xml:space="preserve"> 29%</w:t>
            </w:r>
            <w:r w:rsidRPr="0016235B">
              <w:rPr>
                <w:rFonts w:ascii="Candara" w:hAnsi="Candara" w:cs="Times New Roman"/>
              </w:rPr>
              <w:t xml:space="preserve"> of the facilities</w:t>
            </w:r>
          </w:p>
          <w:p w14:paraId="29ECEAE4" w14:textId="6315BBFC" w:rsidR="003C6847" w:rsidRPr="0016235B" w:rsidRDefault="00415A30" w:rsidP="007351E8">
            <w:pPr>
              <w:pStyle w:val="ListParagraph"/>
              <w:numPr>
                <w:ilvl w:val="0"/>
                <w:numId w:val="1"/>
              </w:numPr>
              <w:spacing w:after="120" w:line="264" w:lineRule="auto"/>
              <w:jc w:val="both"/>
              <w:rPr>
                <w:rFonts w:ascii="Candara" w:hAnsi="Candara"/>
              </w:rPr>
            </w:pPr>
            <w:r w:rsidRPr="0016235B">
              <w:rPr>
                <w:rFonts w:ascii="Candara" w:hAnsi="Candara" w:cs="Times New Roman"/>
              </w:rPr>
              <w:t>Disp</w:t>
            </w:r>
            <w:r w:rsidR="001D2897" w:rsidRPr="0016235B">
              <w:rPr>
                <w:rFonts w:ascii="Candara" w:hAnsi="Candara" w:cs="Times New Roman"/>
              </w:rPr>
              <w:t>er</w:t>
            </w:r>
            <w:r w:rsidRPr="0016235B">
              <w:rPr>
                <w:rFonts w:ascii="Candara" w:hAnsi="Candara" w:cs="Times New Roman"/>
              </w:rPr>
              <w:t>s</w:t>
            </w:r>
            <w:r w:rsidR="001D2897" w:rsidRPr="0016235B">
              <w:rPr>
                <w:rFonts w:ascii="Candara" w:hAnsi="Candara" w:cs="Times New Roman"/>
              </w:rPr>
              <w:t>i</w:t>
            </w:r>
            <w:r w:rsidRPr="0016235B">
              <w:rPr>
                <w:rFonts w:ascii="Candara" w:hAnsi="Candara" w:cs="Times New Roman"/>
              </w:rPr>
              <w:t xml:space="preserve">ble amoxicillin tabs were stored </w:t>
            </w:r>
            <w:r w:rsidR="001D2897" w:rsidRPr="0016235B">
              <w:rPr>
                <w:rFonts w:ascii="Candara" w:hAnsi="Candara" w:cs="Times New Roman"/>
              </w:rPr>
              <w:t>in FEFO</w:t>
            </w:r>
            <w:r w:rsidRPr="0016235B">
              <w:rPr>
                <w:rFonts w:ascii="Candara" w:hAnsi="Candara" w:cs="Times New Roman"/>
              </w:rPr>
              <w:t xml:space="preserve"> </w:t>
            </w:r>
            <w:r w:rsidR="001D2897" w:rsidRPr="0016235B">
              <w:rPr>
                <w:rFonts w:ascii="Candara" w:hAnsi="Candara" w:cs="Times New Roman"/>
              </w:rPr>
              <w:t>(</w:t>
            </w:r>
            <w:r w:rsidRPr="0016235B">
              <w:rPr>
                <w:rFonts w:ascii="Candara" w:hAnsi="Candara" w:cs="Times New Roman"/>
              </w:rPr>
              <w:t>fast expiry, first out</w:t>
            </w:r>
            <w:r w:rsidR="001D2897" w:rsidRPr="0016235B">
              <w:rPr>
                <w:rFonts w:ascii="Candara" w:hAnsi="Candara" w:cs="Times New Roman"/>
              </w:rPr>
              <w:t>)</w:t>
            </w:r>
            <w:r w:rsidRPr="0016235B">
              <w:rPr>
                <w:rFonts w:ascii="Candara" w:hAnsi="Candara" w:cs="Times New Roman"/>
              </w:rPr>
              <w:t xml:space="preserve"> order in 83% of the facilities assessed and the expiry dates were visible</w:t>
            </w:r>
          </w:p>
        </w:tc>
      </w:tr>
    </w:tbl>
    <w:p w14:paraId="6281138F" w14:textId="77777777" w:rsidR="00CB2995" w:rsidRPr="0016235B" w:rsidRDefault="00CB2995" w:rsidP="00CB2995">
      <w:pPr>
        <w:rPr>
          <w:rFonts w:ascii="Candara" w:eastAsia="Times New Roman" w:hAnsi="Candara" w:cs="Times New Roman"/>
          <w:bCs/>
          <w:lang w:eastAsia="en-GB"/>
        </w:rPr>
      </w:pPr>
    </w:p>
    <w:p w14:paraId="5365CBC3" w14:textId="2331A387" w:rsidR="00CB2995" w:rsidRPr="0016235B" w:rsidRDefault="00522AD2" w:rsidP="005722F2">
      <w:pPr>
        <w:pStyle w:val="Heading2"/>
        <w:numPr>
          <w:ilvl w:val="1"/>
          <w:numId w:val="25"/>
        </w:numPr>
        <w:rPr>
          <w:rFonts w:ascii="Candara" w:hAnsi="Candara"/>
          <w:b/>
          <w:sz w:val="28"/>
          <w:szCs w:val="28"/>
        </w:rPr>
      </w:pPr>
      <w:bookmarkStart w:id="40" w:name="_Toc11494053"/>
      <w:r w:rsidRPr="0016235B">
        <w:rPr>
          <w:rFonts w:ascii="Candara" w:hAnsi="Candara"/>
          <w:b/>
          <w:sz w:val="28"/>
          <w:szCs w:val="28"/>
        </w:rPr>
        <w:t>Essential medicines for malaria</w:t>
      </w:r>
      <w:bookmarkEnd w:id="40"/>
    </w:p>
    <w:p w14:paraId="4C395840" w14:textId="77777777" w:rsidR="009B5FCA" w:rsidRPr="0016235B" w:rsidRDefault="009B5FCA" w:rsidP="005D2E87">
      <w:pPr>
        <w:rPr>
          <w:rFonts w:ascii="Candara" w:hAnsi="Candara"/>
          <w:b/>
        </w:rPr>
      </w:pPr>
    </w:p>
    <w:p w14:paraId="5EE13B66" w14:textId="39CF614B" w:rsidR="00BC4FD8" w:rsidRPr="0016235B" w:rsidRDefault="00625F40" w:rsidP="00625F40">
      <w:pPr>
        <w:spacing w:after="0" w:line="240" w:lineRule="auto"/>
        <w:jc w:val="both"/>
        <w:rPr>
          <w:rFonts w:ascii="Candara" w:eastAsia="Times New Roman" w:hAnsi="Candara" w:cs="Times New Roman"/>
          <w:bCs/>
          <w:sz w:val="24"/>
          <w:szCs w:val="24"/>
          <w:lang w:eastAsia="en-GB"/>
        </w:rPr>
      </w:pPr>
      <w:r w:rsidRPr="0016235B">
        <w:rPr>
          <w:rFonts w:ascii="Candara" w:eastAsia="Times New Roman" w:hAnsi="Candara" w:cs="Times New Roman"/>
          <w:bCs/>
          <w:sz w:val="24"/>
          <w:szCs w:val="24"/>
          <w:lang w:eastAsia="en-GB"/>
        </w:rPr>
        <w:t xml:space="preserve">Facilities were assessed for the presence of 6 essential commodities for malaria, including Artemisinin not as combination therapy, ACTs, </w:t>
      </w:r>
      <w:proofErr w:type="spellStart"/>
      <w:r w:rsidRPr="0016235B">
        <w:rPr>
          <w:rFonts w:ascii="Candara" w:eastAsia="Times New Roman" w:hAnsi="Candara" w:cs="Times New Roman"/>
          <w:bCs/>
          <w:sz w:val="24"/>
          <w:szCs w:val="24"/>
          <w:lang w:eastAsia="en-GB"/>
        </w:rPr>
        <w:t>Sulfadoxine+Pyrimethamine</w:t>
      </w:r>
      <w:proofErr w:type="spellEnd"/>
      <w:r w:rsidRPr="0016235B">
        <w:rPr>
          <w:rFonts w:ascii="Candara" w:eastAsia="Times New Roman" w:hAnsi="Candara" w:cs="Times New Roman"/>
          <w:bCs/>
          <w:sz w:val="24"/>
          <w:szCs w:val="24"/>
          <w:lang w:eastAsia="en-GB"/>
        </w:rPr>
        <w:t xml:space="preserve"> (SP), Artesunate rectal and injection, Insecticide treated best nets (ITNs) and Insecticide treated best nets (ITNs vouchers). Stock-out of ACTs in the past 3 months was also examines.</w:t>
      </w:r>
    </w:p>
    <w:p w14:paraId="1BD381DC" w14:textId="77777777" w:rsidR="009B5FCA" w:rsidRPr="0016235B" w:rsidRDefault="009B5FCA" w:rsidP="005D2E87">
      <w:pPr>
        <w:rPr>
          <w:rFonts w:ascii="Candara" w:hAnsi="Candara"/>
          <w:b/>
        </w:rPr>
      </w:pPr>
    </w:p>
    <w:p w14:paraId="6ACCB666" w14:textId="373336E2" w:rsidR="00FE60D8" w:rsidRPr="0016235B" w:rsidRDefault="00FE60D8" w:rsidP="005D2E87">
      <w:pPr>
        <w:rPr>
          <w:rFonts w:ascii="Candara" w:hAnsi="Candara" w:cs="Times New Roman"/>
          <w:b/>
          <w:sz w:val="24"/>
          <w:szCs w:val="24"/>
        </w:rPr>
      </w:pPr>
      <w:r w:rsidRPr="0016235B">
        <w:rPr>
          <w:rFonts w:ascii="Candara" w:hAnsi="Candara" w:cs="Times New Roman"/>
          <w:b/>
          <w:sz w:val="24"/>
          <w:szCs w:val="24"/>
        </w:rPr>
        <w:t>Mean availability of items of essential medicines for malaria (N=16</w:t>
      </w:r>
      <w:r w:rsidR="00522AD2" w:rsidRPr="0016235B">
        <w:rPr>
          <w:rFonts w:ascii="Candara" w:hAnsi="Candara" w:cs="Times New Roman"/>
          <w:b/>
          <w:sz w:val="24"/>
          <w:szCs w:val="24"/>
        </w:rPr>
        <w:t>6</w:t>
      </w:r>
      <w:r w:rsidRPr="0016235B">
        <w:rPr>
          <w:rFonts w:ascii="Candara" w:hAnsi="Candara" w:cs="Times New Roman"/>
          <w:b/>
          <w:sz w:val="24"/>
          <w:szCs w:val="24"/>
        </w:rPr>
        <w:t>)</w:t>
      </w:r>
    </w:p>
    <w:p w14:paraId="7A064CB4" w14:textId="380EAFFF" w:rsidR="00672B04" w:rsidRPr="0016235B" w:rsidRDefault="00625F40" w:rsidP="00672B04">
      <w:pPr>
        <w:rPr>
          <w:rFonts w:ascii="Candara" w:hAnsi="Candara"/>
          <w:b/>
        </w:rPr>
      </w:pPr>
      <w:r w:rsidRPr="0016235B">
        <w:rPr>
          <w:rFonts w:ascii="Candara" w:hAnsi="Candara"/>
          <w:noProof/>
        </w:rPr>
        <w:drawing>
          <wp:inline distT="0" distB="0" distL="0" distR="0" wp14:anchorId="26829C49" wp14:editId="090C72D8">
            <wp:extent cx="5731510" cy="3922395"/>
            <wp:effectExtent l="0" t="0" r="2540" b="1905"/>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361C7199" w14:textId="77777777" w:rsidR="00672B04" w:rsidRPr="0016235B" w:rsidRDefault="00672B04" w:rsidP="00672B04">
      <w:pPr>
        <w:spacing w:after="0" w:line="240" w:lineRule="auto"/>
        <w:rPr>
          <w:rFonts w:ascii="Candara" w:eastAsia="Times New Roman" w:hAnsi="Candara" w:cs="Times New Roman"/>
          <w:sz w:val="24"/>
          <w:szCs w:val="24"/>
          <w:lang w:eastAsia="en-GB"/>
        </w:rPr>
      </w:pPr>
    </w:p>
    <w:p w14:paraId="1C342358" w14:textId="77777777" w:rsidR="00522AD2" w:rsidRPr="0016235B" w:rsidRDefault="00522AD2" w:rsidP="00522AD2">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 of facilities with malaria ACTs and those which experienced a stock-out</w:t>
      </w:r>
    </w:p>
    <w:p w14:paraId="173CA889" w14:textId="77777777" w:rsidR="00522AD2" w:rsidRPr="0016235B" w:rsidRDefault="00522AD2" w:rsidP="00522AD2">
      <w:pPr>
        <w:rPr>
          <w:rFonts w:ascii="Candara" w:hAnsi="Candara"/>
          <w:b/>
        </w:rPr>
      </w:pPr>
      <w:r w:rsidRPr="0016235B">
        <w:rPr>
          <w:rFonts w:ascii="Candara" w:hAnsi="Candara"/>
          <w:b/>
          <w:noProof/>
        </w:rPr>
        <w:drawing>
          <wp:inline distT="0" distB="0" distL="0" distR="0" wp14:anchorId="0D1A40C7" wp14:editId="192B6A03">
            <wp:extent cx="5879465" cy="3190875"/>
            <wp:effectExtent l="19050" t="19050" r="26035" b="285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886192" cy="3194526"/>
                    </a:xfrm>
                    <a:prstGeom prst="rect">
                      <a:avLst/>
                    </a:prstGeom>
                    <a:ln w="15875">
                      <a:solidFill>
                        <a:srgbClr val="0070C0"/>
                      </a:solidFill>
                    </a:ln>
                  </pic:spPr>
                </pic:pic>
              </a:graphicData>
            </a:graphic>
          </wp:inline>
        </w:drawing>
      </w:r>
    </w:p>
    <w:p w14:paraId="6B930DA5" w14:textId="77777777" w:rsidR="000473C6" w:rsidRPr="0016235B" w:rsidRDefault="000473C6" w:rsidP="00522AD2">
      <w:pPr>
        <w:rPr>
          <w:rFonts w:ascii="Candara" w:hAnsi="Candara"/>
          <w:b/>
        </w:rPr>
      </w:pPr>
    </w:p>
    <w:p w14:paraId="7C3ECD60" w14:textId="6545A625" w:rsidR="00672B04" w:rsidRPr="0016235B" w:rsidRDefault="00672B04" w:rsidP="00672B04">
      <w:pPr>
        <w:spacing w:after="0" w:line="240" w:lineRule="auto"/>
        <w:rPr>
          <w:rFonts w:ascii="Candara" w:eastAsia="Times New Roman" w:hAnsi="Candara" w:cs="Times New Roman"/>
          <w:b/>
          <w:bCs/>
          <w:lang w:eastAsia="en-GB"/>
        </w:rPr>
      </w:pPr>
      <w:r w:rsidRPr="0016235B">
        <w:rPr>
          <w:rFonts w:ascii="Candara" w:eastAsia="Times New Roman" w:hAnsi="Candara" w:cs="Times New Roman"/>
          <w:b/>
          <w:bCs/>
          <w:lang w:eastAsia="en-GB"/>
        </w:rPr>
        <w:t xml:space="preserve">Mean availability of essential medicines for malaria by key </w:t>
      </w:r>
      <w:proofErr w:type="spellStart"/>
      <w:r w:rsidRPr="0016235B">
        <w:rPr>
          <w:rFonts w:ascii="Candara" w:eastAsia="Times New Roman" w:hAnsi="Candara" w:cs="Times New Roman"/>
          <w:b/>
          <w:bCs/>
          <w:lang w:eastAsia="en-GB"/>
        </w:rPr>
        <w:t>stratifiers</w:t>
      </w:r>
      <w:proofErr w:type="spellEnd"/>
      <w:r w:rsidRPr="0016235B">
        <w:rPr>
          <w:rFonts w:ascii="Candara" w:eastAsia="Times New Roman" w:hAnsi="Candara" w:cs="Times New Roman"/>
          <w:b/>
          <w:bCs/>
          <w:lang w:eastAsia="en-GB"/>
        </w:rPr>
        <w:t xml:space="preserve"> (N=16</w:t>
      </w:r>
      <w:r w:rsidR="00522AD2" w:rsidRPr="0016235B">
        <w:rPr>
          <w:rFonts w:ascii="Candara" w:eastAsia="Times New Roman" w:hAnsi="Candara" w:cs="Times New Roman"/>
          <w:b/>
          <w:bCs/>
          <w:lang w:eastAsia="en-GB"/>
        </w:rPr>
        <w:t>6</w:t>
      </w:r>
      <w:r w:rsidRPr="0016235B">
        <w:rPr>
          <w:rFonts w:ascii="Candara" w:eastAsia="Times New Roman" w:hAnsi="Candara" w:cs="Times New Roman"/>
          <w:b/>
          <w:bCs/>
          <w:lang w:eastAsia="en-GB"/>
        </w:rPr>
        <w:t>)</w:t>
      </w:r>
    </w:p>
    <w:p w14:paraId="1059D111" w14:textId="67A33490" w:rsidR="00672B04" w:rsidRPr="0016235B" w:rsidRDefault="00522AD2" w:rsidP="00672B04">
      <w:pPr>
        <w:rPr>
          <w:rFonts w:ascii="Candara" w:hAnsi="Candara"/>
          <w:b/>
        </w:rPr>
      </w:pPr>
      <w:r w:rsidRPr="0016235B">
        <w:rPr>
          <w:rFonts w:ascii="Candara" w:hAnsi="Candara"/>
          <w:noProof/>
        </w:rPr>
        <w:drawing>
          <wp:inline distT="0" distB="0" distL="0" distR="0" wp14:anchorId="7B247284" wp14:editId="74795DC1">
            <wp:extent cx="5895975" cy="4038600"/>
            <wp:effectExtent l="0" t="0" r="9525"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3677265F" w14:textId="77777777" w:rsidR="005D2E87" w:rsidRPr="0016235B" w:rsidRDefault="005D2E87" w:rsidP="00672B04">
      <w:pPr>
        <w:spacing w:after="0" w:line="240" w:lineRule="auto"/>
        <w:rPr>
          <w:rFonts w:ascii="Candara" w:eastAsia="Times New Roman" w:hAnsi="Candara" w:cs="Times New Roman"/>
          <w:b/>
          <w:bCs/>
          <w:lang w:eastAsia="en-GB"/>
        </w:rPr>
      </w:pPr>
    </w:p>
    <w:p w14:paraId="4B881A2F" w14:textId="77777777" w:rsidR="00672B04" w:rsidRPr="0016235B" w:rsidRDefault="00672B04" w:rsidP="00672B04">
      <w:pPr>
        <w:rPr>
          <w:rFonts w:ascii="Candara" w:hAnsi="Candara"/>
          <w:b/>
        </w:rPr>
      </w:pPr>
    </w:p>
    <w:p w14:paraId="318EA20C" w14:textId="77777777" w:rsidR="000473C6" w:rsidRPr="0016235B" w:rsidRDefault="000473C6" w:rsidP="00672B04">
      <w:pPr>
        <w:rPr>
          <w:rFonts w:ascii="Candara" w:hAnsi="Candara"/>
          <w:b/>
        </w:rPr>
      </w:pPr>
    </w:p>
    <w:p w14:paraId="47EB7F99" w14:textId="77777777" w:rsidR="000473C6" w:rsidRPr="0016235B" w:rsidRDefault="000473C6" w:rsidP="00672B04">
      <w:pPr>
        <w:rPr>
          <w:rFonts w:ascii="Candara" w:hAnsi="Candara"/>
          <w:b/>
        </w:rPr>
      </w:pPr>
    </w:p>
    <w:tbl>
      <w:tblPr>
        <w:tblStyle w:val="TableGrid"/>
        <w:tblW w:w="9409" w:type="dxa"/>
        <w:tblLook w:val="04A0" w:firstRow="1" w:lastRow="0" w:firstColumn="1" w:lastColumn="0" w:noHBand="0" w:noVBand="1"/>
      </w:tblPr>
      <w:tblGrid>
        <w:gridCol w:w="9409"/>
      </w:tblGrid>
      <w:tr w:rsidR="003C6847" w:rsidRPr="0016235B" w14:paraId="3BDA690C" w14:textId="77777777" w:rsidTr="00397C88">
        <w:trPr>
          <w:trHeight w:val="262"/>
        </w:trPr>
        <w:tc>
          <w:tcPr>
            <w:tcW w:w="9409" w:type="dxa"/>
          </w:tcPr>
          <w:p w14:paraId="064C6564" w14:textId="77777777" w:rsidR="003C6847" w:rsidRPr="0016235B" w:rsidRDefault="003C6847" w:rsidP="00397C88">
            <w:pPr>
              <w:rPr>
                <w:rFonts w:ascii="Candara" w:hAnsi="Candara"/>
                <w:b/>
              </w:rPr>
            </w:pPr>
            <w:r w:rsidRPr="0016235B">
              <w:rPr>
                <w:rFonts w:ascii="Candara" w:hAnsi="Candara"/>
                <w:b/>
              </w:rPr>
              <w:t>Key findings</w:t>
            </w:r>
          </w:p>
        </w:tc>
      </w:tr>
      <w:tr w:rsidR="003C6847" w:rsidRPr="0016235B" w14:paraId="79A685ED" w14:textId="77777777" w:rsidTr="00397C88">
        <w:trPr>
          <w:trHeight w:val="2663"/>
        </w:trPr>
        <w:tc>
          <w:tcPr>
            <w:tcW w:w="9409" w:type="dxa"/>
          </w:tcPr>
          <w:p w14:paraId="38A34D9B" w14:textId="5D7A11E2" w:rsidR="001D2897" w:rsidRPr="0016235B" w:rsidRDefault="001D2897" w:rsidP="001D2897">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95% of facilities </w:t>
            </w:r>
            <w:r w:rsidR="007351E8">
              <w:rPr>
                <w:rFonts w:ascii="Candara" w:hAnsi="Candara" w:cs="Times New Roman"/>
              </w:rPr>
              <w:t xml:space="preserve">had </w:t>
            </w:r>
            <w:r w:rsidRPr="0016235B">
              <w:rPr>
                <w:rFonts w:ascii="Candara" w:hAnsi="Candara" w:cs="Times New Roman"/>
              </w:rPr>
              <w:t>stock</w:t>
            </w:r>
            <w:r w:rsidR="007351E8">
              <w:rPr>
                <w:rFonts w:ascii="Candara" w:hAnsi="Candara" w:cs="Times New Roman"/>
              </w:rPr>
              <w:t xml:space="preserve"> of</w:t>
            </w:r>
            <w:r w:rsidRPr="0016235B">
              <w:rPr>
                <w:rFonts w:ascii="Candara" w:hAnsi="Candara" w:cs="Times New Roman"/>
              </w:rPr>
              <w:t xml:space="preserve"> medicines for malaria treatment.  O</w:t>
            </w:r>
            <w:r w:rsidR="00625F40" w:rsidRPr="0016235B">
              <w:rPr>
                <w:rFonts w:ascii="Candara" w:hAnsi="Candara" w:cs="Times New Roman"/>
              </w:rPr>
              <w:t xml:space="preserve">n average, </w:t>
            </w:r>
            <w:r w:rsidRPr="0016235B">
              <w:rPr>
                <w:rFonts w:ascii="Candara" w:hAnsi="Candara" w:cs="Times New Roman"/>
              </w:rPr>
              <w:t>these</w:t>
            </w:r>
            <w:r w:rsidR="00625F40" w:rsidRPr="0016235B">
              <w:rPr>
                <w:rFonts w:ascii="Candara" w:hAnsi="Candara" w:cs="Times New Roman"/>
              </w:rPr>
              <w:t xml:space="preserve"> facilities had half of the 6 medicines assessed for malaria</w:t>
            </w:r>
            <w:r w:rsidRPr="0016235B">
              <w:rPr>
                <w:rFonts w:ascii="Candara" w:hAnsi="Candara" w:cs="Times New Roman"/>
              </w:rPr>
              <w:t xml:space="preserve"> </w:t>
            </w:r>
            <w:r w:rsidR="00625F40" w:rsidRPr="0016235B">
              <w:rPr>
                <w:rFonts w:ascii="Candara" w:hAnsi="Candara" w:cs="Times New Roman"/>
              </w:rPr>
              <w:t>(53%)</w:t>
            </w:r>
          </w:p>
          <w:p w14:paraId="3AD7FA0E" w14:textId="69BA7FA6" w:rsidR="001D2897" w:rsidRPr="0016235B" w:rsidRDefault="00653CD2" w:rsidP="001D2897">
            <w:pPr>
              <w:pStyle w:val="ListParagraph"/>
              <w:numPr>
                <w:ilvl w:val="0"/>
                <w:numId w:val="1"/>
              </w:numPr>
              <w:spacing w:after="120" w:line="264" w:lineRule="auto"/>
              <w:rPr>
                <w:rFonts w:ascii="Candara" w:hAnsi="Candara" w:cs="Times New Roman"/>
              </w:rPr>
            </w:pPr>
            <w:r w:rsidRPr="0016235B">
              <w:rPr>
                <w:rFonts w:ascii="Candara" w:hAnsi="Candara" w:cs="Times New Roman"/>
              </w:rPr>
              <w:t>Essential medicines for malaria were equally available in p</w:t>
            </w:r>
            <w:r w:rsidR="001D2897" w:rsidRPr="0016235B">
              <w:rPr>
                <w:rFonts w:ascii="Candara" w:hAnsi="Candara" w:cs="Times New Roman"/>
              </w:rPr>
              <w:t>rivate</w:t>
            </w:r>
            <w:r w:rsidRPr="0016235B">
              <w:rPr>
                <w:rFonts w:ascii="Candara" w:hAnsi="Candara" w:cs="Times New Roman"/>
              </w:rPr>
              <w:t xml:space="preserve"> and</w:t>
            </w:r>
            <w:r w:rsidR="001D2897" w:rsidRPr="0016235B">
              <w:rPr>
                <w:rFonts w:ascii="Candara" w:hAnsi="Candara" w:cs="Times New Roman"/>
              </w:rPr>
              <w:t xml:space="preserve"> </w:t>
            </w:r>
            <w:r w:rsidRPr="0016235B">
              <w:rPr>
                <w:rFonts w:ascii="Candara" w:hAnsi="Candara" w:cs="Times New Roman"/>
              </w:rPr>
              <w:t xml:space="preserve">public </w:t>
            </w:r>
            <w:r w:rsidR="001D2897" w:rsidRPr="0016235B">
              <w:rPr>
                <w:rFonts w:ascii="Candara" w:hAnsi="Candara" w:cs="Times New Roman"/>
              </w:rPr>
              <w:t xml:space="preserve">health facilities </w:t>
            </w:r>
            <w:r w:rsidRPr="0016235B">
              <w:rPr>
                <w:rFonts w:ascii="Candara" w:hAnsi="Candara" w:cs="Times New Roman"/>
              </w:rPr>
              <w:t>(38%)</w:t>
            </w:r>
          </w:p>
          <w:p w14:paraId="0AA0AFB9" w14:textId="0B1F0995" w:rsidR="001D2897" w:rsidRPr="0016235B" w:rsidRDefault="00653CD2" w:rsidP="001D2897">
            <w:pPr>
              <w:pStyle w:val="ListParagraph"/>
              <w:numPr>
                <w:ilvl w:val="0"/>
                <w:numId w:val="1"/>
              </w:numPr>
              <w:spacing w:after="120" w:line="264" w:lineRule="auto"/>
              <w:rPr>
                <w:rFonts w:ascii="Candara" w:hAnsi="Candara" w:cs="Times New Roman"/>
              </w:rPr>
            </w:pPr>
            <w:r w:rsidRPr="0016235B">
              <w:rPr>
                <w:rFonts w:ascii="Candara" w:hAnsi="Candara" w:cs="Times New Roman"/>
              </w:rPr>
              <w:t>More malaria medicines were observed in Central 2 (70%)</w:t>
            </w:r>
            <w:r w:rsidR="000E3752" w:rsidRPr="0016235B">
              <w:rPr>
                <w:rFonts w:ascii="Candara" w:hAnsi="Candara" w:cs="Times New Roman"/>
              </w:rPr>
              <w:t xml:space="preserve"> and least in</w:t>
            </w:r>
            <w:r w:rsidRPr="0016235B">
              <w:rPr>
                <w:rFonts w:ascii="Candara" w:hAnsi="Candara" w:cs="Times New Roman"/>
              </w:rPr>
              <w:t xml:space="preserve"> </w:t>
            </w:r>
            <w:r w:rsidR="000E3752" w:rsidRPr="0016235B">
              <w:rPr>
                <w:rFonts w:ascii="Candara" w:hAnsi="Candara" w:cs="Times New Roman"/>
              </w:rPr>
              <w:t>Mid-</w:t>
            </w:r>
            <w:r w:rsidR="001D2897" w:rsidRPr="0016235B">
              <w:rPr>
                <w:rFonts w:ascii="Candara" w:hAnsi="Candara" w:cs="Times New Roman"/>
              </w:rPr>
              <w:t xml:space="preserve">North </w:t>
            </w:r>
            <w:r w:rsidR="000E3752" w:rsidRPr="0016235B">
              <w:rPr>
                <w:rFonts w:ascii="Candara" w:hAnsi="Candara" w:cs="Times New Roman"/>
              </w:rPr>
              <w:t>(35%)</w:t>
            </w:r>
          </w:p>
          <w:p w14:paraId="752259C2" w14:textId="4FDD03B9" w:rsidR="001D2897" w:rsidRPr="0016235B" w:rsidRDefault="00653CD2" w:rsidP="001D2897">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Essential malaria medicines and commodities were more available in </w:t>
            </w:r>
            <w:r w:rsidR="001D2897" w:rsidRPr="0016235B">
              <w:rPr>
                <w:rFonts w:ascii="Candara" w:hAnsi="Candara" w:cs="Times New Roman"/>
              </w:rPr>
              <w:t>HC</w:t>
            </w:r>
            <w:r w:rsidRPr="0016235B">
              <w:rPr>
                <w:rFonts w:ascii="Candara" w:hAnsi="Candara" w:cs="Times New Roman"/>
              </w:rPr>
              <w:t xml:space="preserve"> </w:t>
            </w:r>
            <w:r w:rsidR="001D2897" w:rsidRPr="0016235B">
              <w:rPr>
                <w:rFonts w:ascii="Candara" w:hAnsi="Candara" w:cs="Times New Roman"/>
              </w:rPr>
              <w:t>IV</w:t>
            </w:r>
            <w:r w:rsidRPr="0016235B">
              <w:rPr>
                <w:rFonts w:ascii="Candara" w:hAnsi="Candara" w:cs="Times New Roman"/>
              </w:rPr>
              <w:t>s</w:t>
            </w:r>
            <w:r w:rsidR="001D2897" w:rsidRPr="0016235B">
              <w:rPr>
                <w:rFonts w:ascii="Candara" w:hAnsi="Candara" w:cs="Times New Roman"/>
              </w:rPr>
              <w:t xml:space="preserve"> </w:t>
            </w:r>
            <w:r w:rsidRPr="0016235B">
              <w:rPr>
                <w:rFonts w:ascii="Candara" w:hAnsi="Candara" w:cs="Times New Roman"/>
              </w:rPr>
              <w:t>than other levels of care</w:t>
            </w:r>
          </w:p>
          <w:p w14:paraId="41DA59E4" w14:textId="65ABE573" w:rsidR="001D2897" w:rsidRPr="0016235B" w:rsidRDefault="001D2897" w:rsidP="001D2897">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Central 2 </w:t>
            </w:r>
            <w:r w:rsidR="005B71F2">
              <w:rPr>
                <w:rFonts w:ascii="Candara" w:hAnsi="Candara" w:cs="Times New Roman"/>
              </w:rPr>
              <w:t>h</w:t>
            </w:r>
            <w:r w:rsidRPr="0016235B">
              <w:rPr>
                <w:rFonts w:ascii="Candara" w:hAnsi="Candara" w:cs="Times New Roman"/>
              </w:rPr>
              <w:t xml:space="preserve">ad </w:t>
            </w:r>
            <w:r w:rsidR="005B71F2">
              <w:rPr>
                <w:rFonts w:ascii="Candara" w:hAnsi="Candara" w:cs="Times New Roman"/>
              </w:rPr>
              <w:t>t</w:t>
            </w:r>
            <w:r w:rsidRPr="0016235B">
              <w:rPr>
                <w:rFonts w:ascii="Candara" w:hAnsi="Candara" w:cs="Times New Roman"/>
              </w:rPr>
              <w:t>he highest availability of Malaria medicines at 70% and least was Mid-North at 35%</w:t>
            </w:r>
          </w:p>
          <w:p w14:paraId="5D01F8BA" w14:textId="585E1D46" w:rsidR="000E3752" w:rsidRPr="0016235B" w:rsidRDefault="000E3752" w:rsidP="000E3752">
            <w:pPr>
              <w:pStyle w:val="ListParagraph"/>
              <w:numPr>
                <w:ilvl w:val="0"/>
                <w:numId w:val="1"/>
              </w:numPr>
              <w:spacing w:after="120" w:line="264" w:lineRule="auto"/>
              <w:rPr>
                <w:rFonts w:ascii="Candara" w:hAnsi="Candara" w:cs="Times New Roman"/>
              </w:rPr>
            </w:pPr>
            <w:r w:rsidRPr="0016235B">
              <w:rPr>
                <w:rFonts w:ascii="Candara" w:hAnsi="Candara" w:cs="Times New Roman"/>
              </w:rPr>
              <w:t>ACTs w</w:t>
            </w:r>
            <w:r w:rsidR="005B71F2">
              <w:rPr>
                <w:rFonts w:ascii="Candara" w:hAnsi="Candara" w:cs="Times New Roman"/>
              </w:rPr>
              <w:t>ere</w:t>
            </w:r>
            <w:r w:rsidRPr="0016235B">
              <w:rPr>
                <w:rFonts w:ascii="Candara" w:hAnsi="Candara" w:cs="Times New Roman"/>
              </w:rPr>
              <w:t xml:space="preserve"> most available in health facilities at 82% and the least available was artemisinin </w:t>
            </w:r>
            <w:r w:rsidR="005B71F2">
              <w:rPr>
                <w:rFonts w:ascii="Candara" w:hAnsi="Candara" w:cs="Times New Roman"/>
              </w:rPr>
              <w:t>(</w:t>
            </w:r>
            <w:r w:rsidRPr="0016235B">
              <w:rPr>
                <w:rFonts w:ascii="Candara" w:hAnsi="Candara" w:cs="Times New Roman"/>
              </w:rPr>
              <w:t>not combination therapy</w:t>
            </w:r>
            <w:r w:rsidR="005B71F2">
              <w:rPr>
                <w:rFonts w:ascii="Candara" w:hAnsi="Candara" w:cs="Times New Roman"/>
              </w:rPr>
              <w:t>)</w:t>
            </w:r>
            <w:r w:rsidRPr="0016235B">
              <w:rPr>
                <w:rFonts w:ascii="Candara" w:hAnsi="Candara" w:cs="Times New Roman"/>
              </w:rPr>
              <w:t xml:space="preserve"> in 26% of the facilities</w:t>
            </w:r>
          </w:p>
          <w:p w14:paraId="2FB62497" w14:textId="212DA289" w:rsidR="003C6847" w:rsidRPr="0016235B" w:rsidRDefault="000E3752" w:rsidP="001D2897">
            <w:pPr>
              <w:pStyle w:val="ListParagraph"/>
              <w:numPr>
                <w:ilvl w:val="0"/>
                <w:numId w:val="1"/>
              </w:numPr>
              <w:jc w:val="both"/>
              <w:rPr>
                <w:rFonts w:ascii="Candara" w:hAnsi="Candara"/>
              </w:rPr>
            </w:pPr>
            <w:r w:rsidRPr="0016235B">
              <w:rPr>
                <w:rFonts w:ascii="Candara" w:hAnsi="Candara" w:cs="Times New Roman"/>
              </w:rPr>
              <w:t xml:space="preserve">Of the 82% facilities that had ACTs, </w:t>
            </w:r>
            <w:r w:rsidR="001D2897" w:rsidRPr="0016235B">
              <w:rPr>
                <w:rFonts w:ascii="Candara" w:hAnsi="Candara" w:cs="Times New Roman"/>
              </w:rPr>
              <w:t xml:space="preserve">15% of </w:t>
            </w:r>
            <w:r w:rsidRPr="0016235B">
              <w:rPr>
                <w:rFonts w:ascii="Candara" w:hAnsi="Candara" w:cs="Times New Roman"/>
              </w:rPr>
              <w:t>them had</w:t>
            </w:r>
            <w:r w:rsidR="001D2897" w:rsidRPr="0016235B">
              <w:rPr>
                <w:rFonts w:ascii="Candara" w:hAnsi="Candara" w:cs="Times New Roman"/>
              </w:rPr>
              <w:t xml:space="preserve"> experienced stock out of A</w:t>
            </w:r>
            <w:r w:rsidRPr="0016235B">
              <w:rPr>
                <w:rFonts w:ascii="Candara" w:hAnsi="Candara" w:cs="Times New Roman"/>
              </w:rPr>
              <w:t>CTs in the past 3 months. For</w:t>
            </w:r>
            <w:r w:rsidR="001D2897" w:rsidRPr="0016235B">
              <w:rPr>
                <w:rFonts w:ascii="Candara" w:hAnsi="Candara" w:cs="Times New Roman"/>
              </w:rPr>
              <w:t xml:space="preserve"> 40% </w:t>
            </w:r>
            <w:r w:rsidRPr="0016235B">
              <w:rPr>
                <w:rFonts w:ascii="Candara" w:hAnsi="Candara" w:cs="Times New Roman"/>
              </w:rPr>
              <w:t xml:space="preserve">of them, </w:t>
            </w:r>
            <w:r w:rsidR="001D2897" w:rsidRPr="0016235B">
              <w:rPr>
                <w:rFonts w:ascii="Candara" w:hAnsi="Candara" w:cs="Times New Roman"/>
              </w:rPr>
              <w:t xml:space="preserve">stock out </w:t>
            </w:r>
            <w:r w:rsidRPr="0016235B">
              <w:rPr>
                <w:rFonts w:ascii="Candara" w:hAnsi="Candara" w:cs="Times New Roman"/>
              </w:rPr>
              <w:t>lasted</w:t>
            </w:r>
            <w:r w:rsidR="001D2897" w:rsidRPr="0016235B">
              <w:rPr>
                <w:rFonts w:ascii="Candara" w:hAnsi="Candara" w:cs="Times New Roman"/>
              </w:rPr>
              <w:t xml:space="preserve"> 7 to 14 days and </w:t>
            </w:r>
            <w:r w:rsidRPr="0016235B">
              <w:rPr>
                <w:rFonts w:ascii="Candara" w:hAnsi="Candara" w:cs="Times New Roman"/>
              </w:rPr>
              <w:t xml:space="preserve">in </w:t>
            </w:r>
            <w:r w:rsidR="001D2897" w:rsidRPr="0016235B">
              <w:rPr>
                <w:rFonts w:ascii="Candara" w:hAnsi="Candara" w:cs="Times New Roman"/>
              </w:rPr>
              <w:t xml:space="preserve">24% stock out </w:t>
            </w:r>
            <w:r w:rsidR="005B71F2">
              <w:rPr>
                <w:rFonts w:ascii="Candara" w:hAnsi="Candara" w:cs="Times New Roman"/>
              </w:rPr>
              <w:t xml:space="preserve">had </w:t>
            </w:r>
            <w:r w:rsidRPr="0016235B">
              <w:rPr>
                <w:rFonts w:ascii="Candara" w:hAnsi="Candara" w:cs="Times New Roman"/>
              </w:rPr>
              <w:t>lasted</w:t>
            </w:r>
            <w:r w:rsidR="001D2897" w:rsidRPr="0016235B">
              <w:rPr>
                <w:rFonts w:ascii="Candara" w:hAnsi="Candara" w:cs="Times New Roman"/>
              </w:rPr>
              <w:t xml:space="preserve"> more than 2 weeks</w:t>
            </w:r>
          </w:p>
        </w:tc>
      </w:tr>
    </w:tbl>
    <w:p w14:paraId="4C271081" w14:textId="77777777" w:rsidR="00522AD2" w:rsidRPr="0016235B" w:rsidRDefault="00522AD2" w:rsidP="00522AD2">
      <w:pPr>
        <w:rPr>
          <w:rFonts w:ascii="Candara" w:eastAsia="Times New Roman" w:hAnsi="Candara" w:cs="Times New Roman"/>
          <w:bCs/>
          <w:lang w:eastAsia="en-GB"/>
        </w:rPr>
      </w:pPr>
    </w:p>
    <w:p w14:paraId="1CB4F23E" w14:textId="77777777" w:rsidR="00522AD2" w:rsidRPr="0016235B" w:rsidRDefault="00522AD2" w:rsidP="00522AD2">
      <w:pPr>
        <w:pStyle w:val="ListParagraph"/>
        <w:rPr>
          <w:rFonts w:ascii="Candara" w:hAnsi="Candara"/>
          <w:b/>
        </w:rPr>
      </w:pPr>
    </w:p>
    <w:p w14:paraId="64BDF82F" w14:textId="77777777" w:rsidR="00522AD2" w:rsidRPr="0016235B" w:rsidRDefault="00522AD2" w:rsidP="00522AD2">
      <w:pPr>
        <w:pStyle w:val="ListParagraph"/>
        <w:rPr>
          <w:rFonts w:ascii="Candara" w:hAnsi="Candara"/>
          <w:b/>
        </w:rPr>
      </w:pPr>
    </w:p>
    <w:p w14:paraId="66E6FDBC" w14:textId="77777777" w:rsidR="00522AD2" w:rsidRPr="0016235B" w:rsidRDefault="00522AD2" w:rsidP="00522AD2">
      <w:pPr>
        <w:pStyle w:val="ListParagraph"/>
        <w:rPr>
          <w:rFonts w:ascii="Candara" w:hAnsi="Candara"/>
          <w:b/>
        </w:rPr>
      </w:pPr>
    </w:p>
    <w:p w14:paraId="46A10D42" w14:textId="77777777" w:rsidR="00522AD2" w:rsidRPr="0016235B" w:rsidRDefault="00522AD2" w:rsidP="00522AD2">
      <w:pPr>
        <w:pStyle w:val="ListParagraph"/>
        <w:rPr>
          <w:rFonts w:ascii="Candara" w:hAnsi="Candara"/>
          <w:b/>
        </w:rPr>
      </w:pPr>
    </w:p>
    <w:p w14:paraId="26A0E118" w14:textId="77777777" w:rsidR="000E3752" w:rsidRPr="0016235B" w:rsidRDefault="000E3752">
      <w:pPr>
        <w:rPr>
          <w:rFonts w:ascii="Candara" w:eastAsiaTheme="majorEastAsia" w:hAnsi="Candara" w:cstheme="majorBidi"/>
          <w:b/>
          <w:color w:val="2F5496" w:themeColor="accent1" w:themeShade="BF"/>
          <w:sz w:val="28"/>
          <w:szCs w:val="28"/>
        </w:rPr>
      </w:pPr>
      <w:r w:rsidRPr="0016235B">
        <w:rPr>
          <w:rFonts w:ascii="Candara" w:hAnsi="Candara"/>
          <w:b/>
          <w:sz w:val="28"/>
          <w:szCs w:val="28"/>
        </w:rPr>
        <w:br w:type="page"/>
      </w:r>
    </w:p>
    <w:p w14:paraId="0E7B90EC" w14:textId="606F3DC0" w:rsidR="001F2292" w:rsidRPr="0016235B" w:rsidRDefault="00522AD2" w:rsidP="005722F2">
      <w:pPr>
        <w:pStyle w:val="Heading2"/>
        <w:numPr>
          <w:ilvl w:val="1"/>
          <w:numId w:val="25"/>
        </w:numPr>
        <w:rPr>
          <w:rFonts w:ascii="Candara" w:hAnsi="Candara"/>
          <w:b/>
          <w:sz w:val="28"/>
          <w:szCs w:val="28"/>
        </w:rPr>
      </w:pPr>
      <w:bookmarkStart w:id="41" w:name="_Toc11494054"/>
      <w:r w:rsidRPr="0016235B">
        <w:rPr>
          <w:rFonts w:ascii="Candara" w:hAnsi="Candara"/>
          <w:b/>
          <w:sz w:val="28"/>
          <w:szCs w:val="28"/>
        </w:rPr>
        <w:t>Essential medicines for Tuberculosis</w:t>
      </w:r>
      <w:bookmarkEnd w:id="41"/>
    </w:p>
    <w:p w14:paraId="35735C31" w14:textId="77777777" w:rsidR="001F2292" w:rsidRPr="0016235B" w:rsidRDefault="001F2292" w:rsidP="00672B04">
      <w:pPr>
        <w:spacing w:after="0" w:line="240" w:lineRule="auto"/>
        <w:rPr>
          <w:rFonts w:ascii="Candara" w:eastAsia="Times New Roman" w:hAnsi="Candara" w:cs="Times New Roman"/>
          <w:b/>
          <w:bCs/>
          <w:lang w:eastAsia="en-GB"/>
        </w:rPr>
      </w:pPr>
    </w:p>
    <w:p w14:paraId="6D820072" w14:textId="1989613A" w:rsidR="00522AD2" w:rsidRPr="0016235B" w:rsidRDefault="00522AD2" w:rsidP="00BC4FD8">
      <w:pPr>
        <w:spacing w:after="0"/>
        <w:jc w:val="both"/>
        <w:rPr>
          <w:rFonts w:ascii="Candara" w:hAnsi="Candara" w:cs="Times New Roman"/>
          <w:sz w:val="24"/>
          <w:szCs w:val="24"/>
        </w:rPr>
      </w:pPr>
      <w:r w:rsidRPr="0016235B">
        <w:rPr>
          <w:rFonts w:ascii="Candara" w:hAnsi="Candara" w:cs="Times New Roman"/>
          <w:sz w:val="24"/>
          <w:szCs w:val="24"/>
        </w:rPr>
        <w:t xml:space="preserve">Facilities were assessed on </w:t>
      </w:r>
      <w:r w:rsidR="002E3025" w:rsidRPr="0016235B">
        <w:rPr>
          <w:rFonts w:ascii="Candara" w:hAnsi="Candara" w:cs="Times New Roman"/>
          <w:sz w:val="24"/>
          <w:szCs w:val="24"/>
        </w:rPr>
        <w:t>seven essential anti-TB medicines and commodities.</w:t>
      </w:r>
    </w:p>
    <w:p w14:paraId="2F580116" w14:textId="6BE792D5" w:rsidR="00522AD2" w:rsidRPr="0016235B" w:rsidRDefault="00522AD2" w:rsidP="00BC4FD8">
      <w:pPr>
        <w:spacing w:after="0"/>
        <w:jc w:val="both"/>
        <w:rPr>
          <w:rFonts w:ascii="Candara" w:hAnsi="Candara" w:cs="Times New Roman"/>
          <w:sz w:val="24"/>
          <w:szCs w:val="24"/>
        </w:rPr>
      </w:pPr>
    </w:p>
    <w:p w14:paraId="25A48EF5" w14:textId="77777777" w:rsidR="001F2292" w:rsidRPr="0016235B" w:rsidRDefault="001F2292" w:rsidP="00672B04">
      <w:pPr>
        <w:spacing w:after="0" w:line="240" w:lineRule="auto"/>
        <w:rPr>
          <w:rFonts w:ascii="Candara" w:eastAsia="Times New Roman" w:hAnsi="Candara" w:cs="Times New Roman"/>
          <w:b/>
          <w:bCs/>
          <w:lang w:eastAsia="en-GB"/>
        </w:rPr>
      </w:pPr>
    </w:p>
    <w:p w14:paraId="57A08E74" w14:textId="58446FAF" w:rsidR="00483785" w:rsidRPr="0016235B" w:rsidRDefault="00483785" w:rsidP="00483785">
      <w:pPr>
        <w:spacing w:after="0" w:line="240" w:lineRule="auto"/>
        <w:rPr>
          <w:rFonts w:ascii="Candara" w:eastAsia="Times New Roman" w:hAnsi="Candara" w:cs="Times New Roman"/>
          <w:b/>
          <w:bCs/>
          <w:lang w:eastAsia="en-GB"/>
        </w:rPr>
      </w:pPr>
      <w:r w:rsidRPr="0016235B">
        <w:rPr>
          <w:rFonts w:ascii="Candara" w:eastAsia="Times New Roman" w:hAnsi="Candara" w:cs="Times New Roman"/>
          <w:b/>
          <w:bCs/>
          <w:lang w:eastAsia="en-GB"/>
        </w:rPr>
        <w:t xml:space="preserve">Mean availability of essential medicines for TB by key </w:t>
      </w:r>
      <w:proofErr w:type="spellStart"/>
      <w:r w:rsidRPr="0016235B">
        <w:rPr>
          <w:rFonts w:ascii="Candara" w:eastAsia="Times New Roman" w:hAnsi="Candara" w:cs="Times New Roman"/>
          <w:b/>
          <w:bCs/>
          <w:lang w:eastAsia="en-GB"/>
        </w:rPr>
        <w:t>stratifiers</w:t>
      </w:r>
      <w:proofErr w:type="spellEnd"/>
      <w:r w:rsidRPr="0016235B">
        <w:rPr>
          <w:rFonts w:ascii="Candara" w:eastAsia="Times New Roman" w:hAnsi="Candara" w:cs="Times New Roman"/>
          <w:b/>
          <w:bCs/>
          <w:lang w:eastAsia="en-GB"/>
        </w:rPr>
        <w:t xml:space="preserve"> (N=166)</w:t>
      </w:r>
    </w:p>
    <w:p w14:paraId="4585CADD" w14:textId="4275B6AB" w:rsidR="00483785" w:rsidRPr="0016235B" w:rsidRDefault="00483785" w:rsidP="00483785">
      <w:pPr>
        <w:rPr>
          <w:rFonts w:ascii="Candara" w:hAnsi="Candara"/>
          <w:b/>
        </w:rPr>
      </w:pPr>
      <w:r w:rsidRPr="0016235B">
        <w:rPr>
          <w:rFonts w:ascii="Candara" w:hAnsi="Candara"/>
          <w:noProof/>
        </w:rPr>
        <w:drawing>
          <wp:inline distT="0" distB="0" distL="0" distR="0" wp14:anchorId="38EDA419" wp14:editId="254FD829">
            <wp:extent cx="5895975" cy="4019550"/>
            <wp:effectExtent l="0" t="0" r="9525" b="0"/>
            <wp:docPr id="134" name="Chart 134"/>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4FE95412" w14:textId="77777777" w:rsidR="001F2292" w:rsidRPr="0016235B" w:rsidRDefault="001F2292" w:rsidP="00672B04">
      <w:pPr>
        <w:spacing w:after="0" w:line="240" w:lineRule="auto"/>
        <w:rPr>
          <w:rFonts w:ascii="Candara" w:eastAsia="Times New Roman" w:hAnsi="Candara" w:cs="Times New Roman"/>
          <w:b/>
          <w:bCs/>
          <w:lang w:eastAsia="en-GB"/>
        </w:rPr>
      </w:pPr>
    </w:p>
    <w:p w14:paraId="0D8F9054" w14:textId="77777777" w:rsidR="00483785" w:rsidRPr="0016235B" w:rsidRDefault="00483785" w:rsidP="00672B04">
      <w:pPr>
        <w:spacing w:after="0" w:line="240" w:lineRule="auto"/>
        <w:rPr>
          <w:rFonts w:ascii="Candara" w:eastAsia="Times New Roman" w:hAnsi="Candara" w:cs="Times New Roman"/>
          <w:b/>
          <w:bCs/>
          <w:lang w:eastAsia="en-GB"/>
        </w:rPr>
      </w:pPr>
    </w:p>
    <w:p w14:paraId="52C96F36" w14:textId="1C37B6E8" w:rsidR="00672B04" w:rsidRPr="0016235B" w:rsidRDefault="00672B04" w:rsidP="00672B04">
      <w:pPr>
        <w:spacing w:after="0" w:line="240" w:lineRule="auto"/>
        <w:rPr>
          <w:rFonts w:ascii="Candara" w:eastAsia="Times New Roman" w:hAnsi="Candara" w:cs="Times New Roman"/>
          <w:b/>
          <w:bCs/>
          <w:lang w:eastAsia="en-GB"/>
        </w:rPr>
      </w:pPr>
      <w:r w:rsidRPr="0016235B">
        <w:rPr>
          <w:rFonts w:ascii="Candara" w:eastAsia="Times New Roman" w:hAnsi="Candara" w:cs="Times New Roman"/>
          <w:b/>
          <w:bCs/>
          <w:lang w:eastAsia="en-GB"/>
        </w:rPr>
        <w:t>Mean availability of ite</w:t>
      </w:r>
      <w:r w:rsidR="00483785" w:rsidRPr="0016235B">
        <w:rPr>
          <w:rFonts w:ascii="Candara" w:eastAsia="Times New Roman" w:hAnsi="Candara" w:cs="Times New Roman"/>
          <w:b/>
          <w:bCs/>
          <w:lang w:eastAsia="en-GB"/>
        </w:rPr>
        <w:t>ms of essential medicines for TB</w:t>
      </w:r>
    </w:p>
    <w:p w14:paraId="0FE9F00B" w14:textId="78F01556" w:rsidR="00672B04" w:rsidRPr="0016235B" w:rsidRDefault="00483785" w:rsidP="00672B04">
      <w:pPr>
        <w:rPr>
          <w:rFonts w:ascii="Candara" w:hAnsi="Candara"/>
          <w:b/>
        </w:rPr>
      </w:pPr>
      <w:r w:rsidRPr="0016235B">
        <w:rPr>
          <w:rFonts w:ascii="Candara" w:hAnsi="Candara"/>
          <w:noProof/>
        </w:rPr>
        <w:drawing>
          <wp:inline distT="0" distB="0" distL="0" distR="0" wp14:anchorId="2D6F7FCD" wp14:editId="6C38D5A7">
            <wp:extent cx="5810250" cy="3400425"/>
            <wp:effectExtent l="0" t="0" r="0" b="9525"/>
            <wp:docPr id="135" name="Chart 135"/>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tbl>
      <w:tblPr>
        <w:tblStyle w:val="TableGrid"/>
        <w:tblW w:w="9409" w:type="dxa"/>
        <w:tblLook w:val="04A0" w:firstRow="1" w:lastRow="0" w:firstColumn="1" w:lastColumn="0" w:noHBand="0" w:noVBand="1"/>
      </w:tblPr>
      <w:tblGrid>
        <w:gridCol w:w="9409"/>
      </w:tblGrid>
      <w:tr w:rsidR="00B11270" w:rsidRPr="0016235B" w14:paraId="6C5C50C8" w14:textId="77777777" w:rsidTr="00397C88">
        <w:trPr>
          <w:trHeight w:val="262"/>
        </w:trPr>
        <w:tc>
          <w:tcPr>
            <w:tcW w:w="9409" w:type="dxa"/>
          </w:tcPr>
          <w:p w14:paraId="57A1919E" w14:textId="77777777" w:rsidR="00B11270" w:rsidRPr="0016235B" w:rsidRDefault="00B11270" w:rsidP="00397C88">
            <w:pPr>
              <w:rPr>
                <w:rFonts w:ascii="Candara" w:hAnsi="Candara"/>
                <w:b/>
              </w:rPr>
            </w:pPr>
            <w:r w:rsidRPr="0016235B">
              <w:rPr>
                <w:rFonts w:ascii="Candara" w:hAnsi="Candara"/>
                <w:b/>
              </w:rPr>
              <w:t>Key findings</w:t>
            </w:r>
          </w:p>
        </w:tc>
      </w:tr>
      <w:tr w:rsidR="00B11270" w:rsidRPr="0016235B" w14:paraId="29A6D7EB" w14:textId="77777777" w:rsidTr="00397C88">
        <w:trPr>
          <w:trHeight w:val="2663"/>
        </w:trPr>
        <w:tc>
          <w:tcPr>
            <w:tcW w:w="9409" w:type="dxa"/>
          </w:tcPr>
          <w:p w14:paraId="4157A541" w14:textId="04248244" w:rsidR="008554D4" w:rsidRPr="0016235B" w:rsidRDefault="008554D4" w:rsidP="00874773">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33% of f</w:t>
            </w:r>
            <w:r w:rsidR="002E3025" w:rsidRPr="0016235B">
              <w:rPr>
                <w:rFonts w:ascii="Candara" w:hAnsi="Candara" w:cs="Times New Roman"/>
              </w:rPr>
              <w:t>acilities stock</w:t>
            </w:r>
            <w:r w:rsidR="005B71F2">
              <w:rPr>
                <w:rFonts w:ascii="Candara" w:hAnsi="Candara" w:cs="Times New Roman"/>
              </w:rPr>
              <w:t>ed</w:t>
            </w:r>
            <w:r w:rsidR="002E3025" w:rsidRPr="0016235B">
              <w:rPr>
                <w:rFonts w:ascii="Candara" w:hAnsi="Candara" w:cs="Times New Roman"/>
              </w:rPr>
              <w:t xml:space="preserve"> TB medicines</w:t>
            </w:r>
            <w:r w:rsidRPr="0016235B">
              <w:rPr>
                <w:rFonts w:ascii="Candara" w:hAnsi="Candara" w:cs="Times New Roman"/>
              </w:rPr>
              <w:t>, stocking average</w:t>
            </w:r>
            <w:r w:rsidR="005B71F2">
              <w:rPr>
                <w:rFonts w:ascii="Candara" w:hAnsi="Candara" w:cs="Times New Roman"/>
              </w:rPr>
              <w:t>d</w:t>
            </w:r>
            <w:r w:rsidRPr="0016235B">
              <w:rPr>
                <w:rFonts w:ascii="Candara" w:hAnsi="Candara" w:cs="Times New Roman"/>
              </w:rPr>
              <w:t xml:space="preserve"> 4 of the 7 (57%) assessed essential TB medicine</w:t>
            </w:r>
            <w:r w:rsidR="00586CBC" w:rsidRPr="0016235B">
              <w:rPr>
                <w:rFonts w:ascii="Candara" w:hAnsi="Candara" w:cs="Times New Roman"/>
              </w:rPr>
              <w:t>s</w:t>
            </w:r>
          </w:p>
          <w:p w14:paraId="0CACCAF3" w14:textId="4391A65F" w:rsidR="002E3025" w:rsidRPr="0016235B" w:rsidRDefault="008554D4" w:rsidP="00874773">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Only</w:t>
            </w:r>
            <w:r w:rsidR="002E3025" w:rsidRPr="0016235B">
              <w:rPr>
                <w:rFonts w:ascii="Candara" w:hAnsi="Candara" w:cs="Times New Roman"/>
              </w:rPr>
              <w:t xml:space="preserve"> 5% of </w:t>
            </w:r>
            <w:r w:rsidRPr="0016235B">
              <w:rPr>
                <w:rFonts w:ascii="Candara" w:hAnsi="Candara" w:cs="Times New Roman"/>
              </w:rPr>
              <w:t xml:space="preserve">these </w:t>
            </w:r>
            <w:r w:rsidR="002E3025" w:rsidRPr="0016235B">
              <w:rPr>
                <w:rFonts w:ascii="Candara" w:hAnsi="Candara" w:cs="Times New Roman"/>
              </w:rPr>
              <w:t>facilities ha</w:t>
            </w:r>
            <w:r w:rsidRPr="0016235B">
              <w:rPr>
                <w:rFonts w:ascii="Candara" w:hAnsi="Candara" w:cs="Times New Roman"/>
              </w:rPr>
              <w:t>d</w:t>
            </w:r>
            <w:r w:rsidR="002E3025" w:rsidRPr="0016235B">
              <w:rPr>
                <w:rFonts w:ascii="Candara" w:hAnsi="Candara" w:cs="Times New Roman"/>
              </w:rPr>
              <w:t xml:space="preserve"> all the </w:t>
            </w:r>
            <w:r w:rsidRPr="0016235B">
              <w:rPr>
                <w:rFonts w:ascii="Candara" w:hAnsi="Candara" w:cs="Times New Roman"/>
              </w:rPr>
              <w:t xml:space="preserve">7 </w:t>
            </w:r>
            <w:r w:rsidR="002E3025" w:rsidRPr="0016235B">
              <w:rPr>
                <w:rFonts w:ascii="Candara" w:hAnsi="Candara" w:cs="Times New Roman"/>
              </w:rPr>
              <w:t>TB medicines</w:t>
            </w:r>
          </w:p>
          <w:p w14:paraId="2818E6A7" w14:textId="4D72C0E0" w:rsidR="00874773" w:rsidRPr="0016235B" w:rsidRDefault="00874773" w:rsidP="00874773">
            <w:pPr>
              <w:pStyle w:val="ListParagraph"/>
              <w:numPr>
                <w:ilvl w:val="0"/>
                <w:numId w:val="1"/>
              </w:numPr>
              <w:spacing w:after="120" w:line="264" w:lineRule="auto"/>
              <w:jc w:val="both"/>
              <w:rPr>
                <w:rFonts w:ascii="Candara" w:hAnsi="Candara" w:cs="Times New Roman"/>
              </w:rPr>
            </w:pPr>
            <w:proofErr w:type="spellStart"/>
            <w:r w:rsidRPr="0016235B">
              <w:rPr>
                <w:rFonts w:ascii="Candara" w:hAnsi="Candara" w:cs="Times New Roman"/>
              </w:rPr>
              <w:t>Isoniazid+Rifampicin+Pyrazinamide+Ethambutol</w:t>
            </w:r>
            <w:proofErr w:type="spellEnd"/>
            <w:r w:rsidRPr="0016235B">
              <w:rPr>
                <w:rFonts w:ascii="Candara" w:hAnsi="Candara" w:cs="Times New Roman"/>
              </w:rPr>
              <w:t xml:space="preserve"> (4FDC) was available in 79% of the facilities, followed by </w:t>
            </w:r>
            <w:proofErr w:type="spellStart"/>
            <w:r w:rsidRPr="0016235B">
              <w:rPr>
                <w:rFonts w:ascii="Candara" w:hAnsi="Candara" w:cs="Times New Roman"/>
              </w:rPr>
              <w:t>Isoniazid+Rifampicin</w:t>
            </w:r>
            <w:proofErr w:type="spellEnd"/>
            <w:r w:rsidRPr="0016235B">
              <w:rPr>
                <w:rFonts w:ascii="Candara" w:hAnsi="Candara" w:cs="Times New Roman"/>
              </w:rPr>
              <w:t xml:space="preserve"> (2FDC) at 72% and the least available medicine was Pyrazinamide in 28% of the facilities</w:t>
            </w:r>
          </w:p>
          <w:p w14:paraId="5BF28D50" w14:textId="2E697CDD" w:rsidR="002E3025" w:rsidRPr="0016235B" w:rsidRDefault="00586CBC" w:rsidP="00874773">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TB medicines were more available at regional hospitals (70%), followed by </w:t>
            </w:r>
            <w:r w:rsidR="002E3025" w:rsidRPr="0016235B">
              <w:rPr>
                <w:rFonts w:ascii="Candara" w:hAnsi="Candara" w:cs="Times New Roman"/>
              </w:rPr>
              <w:t>HC</w:t>
            </w:r>
            <w:r w:rsidRPr="0016235B">
              <w:rPr>
                <w:rFonts w:ascii="Candara" w:hAnsi="Candara" w:cs="Times New Roman"/>
              </w:rPr>
              <w:t xml:space="preserve"> </w:t>
            </w:r>
            <w:r w:rsidR="002E3025" w:rsidRPr="0016235B">
              <w:rPr>
                <w:rFonts w:ascii="Candara" w:hAnsi="Candara" w:cs="Times New Roman"/>
              </w:rPr>
              <w:t xml:space="preserve">IV </w:t>
            </w:r>
            <w:r w:rsidRPr="0016235B">
              <w:rPr>
                <w:rFonts w:ascii="Candara" w:hAnsi="Candara" w:cs="Times New Roman"/>
              </w:rPr>
              <w:t>(44%)</w:t>
            </w:r>
          </w:p>
          <w:p w14:paraId="03242962" w14:textId="66927441" w:rsidR="002E3025" w:rsidRPr="0016235B" w:rsidRDefault="002E3025" w:rsidP="00874773">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Public health facilities </w:t>
            </w:r>
            <w:r w:rsidR="00586CBC" w:rsidRPr="0016235B">
              <w:rPr>
                <w:rFonts w:ascii="Candara" w:hAnsi="Candara" w:cs="Times New Roman"/>
              </w:rPr>
              <w:t>(23%) were twice as</w:t>
            </w:r>
            <w:r w:rsidRPr="0016235B">
              <w:rPr>
                <w:rFonts w:ascii="Candara" w:hAnsi="Candara" w:cs="Times New Roman"/>
              </w:rPr>
              <w:t xml:space="preserve"> likely </w:t>
            </w:r>
            <w:r w:rsidR="00586CBC" w:rsidRPr="0016235B">
              <w:rPr>
                <w:rFonts w:ascii="Candara" w:hAnsi="Candara" w:cs="Times New Roman"/>
              </w:rPr>
              <w:t xml:space="preserve">to </w:t>
            </w:r>
            <w:r w:rsidRPr="0016235B">
              <w:rPr>
                <w:rFonts w:ascii="Candara" w:hAnsi="Candara" w:cs="Times New Roman"/>
              </w:rPr>
              <w:t xml:space="preserve">have </w:t>
            </w:r>
            <w:r w:rsidR="00586CBC" w:rsidRPr="0016235B">
              <w:rPr>
                <w:rFonts w:ascii="Candara" w:hAnsi="Candara" w:cs="Times New Roman"/>
              </w:rPr>
              <w:t>T</w:t>
            </w:r>
            <w:r w:rsidRPr="0016235B">
              <w:rPr>
                <w:rFonts w:ascii="Candara" w:hAnsi="Candara" w:cs="Times New Roman"/>
              </w:rPr>
              <w:t>B medicines than Private health facilities</w:t>
            </w:r>
            <w:r w:rsidR="00586CBC" w:rsidRPr="0016235B">
              <w:rPr>
                <w:rFonts w:ascii="Candara" w:hAnsi="Candara" w:cs="Times New Roman"/>
              </w:rPr>
              <w:t xml:space="preserve"> (12%)</w:t>
            </w:r>
          </w:p>
          <w:p w14:paraId="1D54369F" w14:textId="0D441392" w:rsidR="002E3025" w:rsidRPr="0016235B" w:rsidRDefault="007D7BBE" w:rsidP="00874773">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There was no major difference in </w:t>
            </w:r>
            <w:r w:rsidR="002E3025" w:rsidRPr="0016235B">
              <w:rPr>
                <w:rFonts w:ascii="Candara" w:hAnsi="Candara" w:cs="Times New Roman"/>
              </w:rPr>
              <w:t xml:space="preserve">availability of TB medicines </w:t>
            </w:r>
            <w:r w:rsidRPr="0016235B">
              <w:rPr>
                <w:rFonts w:ascii="Candara" w:hAnsi="Candara" w:cs="Times New Roman"/>
              </w:rPr>
              <w:t>between urban and rural based facilities</w:t>
            </w:r>
          </w:p>
          <w:p w14:paraId="13D9E806" w14:textId="6EC12640" w:rsidR="00B11270" w:rsidRPr="0016235B" w:rsidRDefault="00874773" w:rsidP="005B71F2">
            <w:pPr>
              <w:pStyle w:val="ListParagraph"/>
              <w:numPr>
                <w:ilvl w:val="0"/>
                <w:numId w:val="1"/>
              </w:numPr>
              <w:spacing w:after="120" w:line="264" w:lineRule="auto"/>
              <w:jc w:val="both"/>
              <w:rPr>
                <w:rFonts w:ascii="Candara" w:hAnsi="Candara"/>
              </w:rPr>
            </w:pPr>
            <w:r w:rsidRPr="0016235B">
              <w:rPr>
                <w:rFonts w:ascii="Candara" w:hAnsi="Candara" w:cs="Times New Roman"/>
              </w:rPr>
              <w:t>TB medicines were more available in</w:t>
            </w:r>
            <w:r w:rsidR="002E3025" w:rsidRPr="0016235B">
              <w:rPr>
                <w:rFonts w:ascii="Candara" w:hAnsi="Candara" w:cs="Times New Roman"/>
              </w:rPr>
              <w:t xml:space="preserve"> Mid north </w:t>
            </w:r>
            <w:r w:rsidRPr="0016235B">
              <w:rPr>
                <w:rFonts w:ascii="Candara" w:hAnsi="Candara" w:cs="Times New Roman"/>
              </w:rPr>
              <w:t xml:space="preserve">(67%), Mid-East (66%) and </w:t>
            </w:r>
            <w:r w:rsidR="002E3025" w:rsidRPr="0016235B">
              <w:rPr>
                <w:rFonts w:ascii="Candara" w:hAnsi="Candara" w:cs="Times New Roman"/>
              </w:rPr>
              <w:t xml:space="preserve">least </w:t>
            </w:r>
            <w:r w:rsidRPr="0016235B">
              <w:rPr>
                <w:rFonts w:ascii="Candara" w:hAnsi="Candara" w:cs="Times New Roman"/>
              </w:rPr>
              <w:t>in</w:t>
            </w:r>
            <w:r w:rsidR="002E3025" w:rsidRPr="0016235B">
              <w:rPr>
                <w:rFonts w:ascii="Candara" w:hAnsi="Candara" w:cs="Times New Roman"/>
              </w:rPr>
              <w:t xml:space="preserve"> South-West </w:t>
            </w:r>
            <w:r w:rsidRPr="0016235B">
              <w:rPr>
                <w:rFonts w:ascii="Candara" w:hAnsi="Candara" w:cs="Times New Roman"/>
              </w:rPr>
              <w:t xml:space="preserve">being available in </w:t>
            </w:r>
            <w:r w:rsidR="002E3025" w:rsidRPr="0016235B">
              <w:rPr>
                <w:rFonts w:ascii="Candara" w:hAnsi="Candara" w:cs="Times New Roman"/>
              </w:rPr>
              <w:t>38%</w:t>
            </w:r>
            <w:r w:rsidRPr="0016235B">
              <w:rPr>
                <w:rFonts w:ascii="Candara" w:hAnsi="Candara" w:cs="Times New Roman"/>
              </w:rPr>
              <w:t xml:space="preserve"> of the facilities</w:t>
            </w:r>
          </w:p>
        </w:tc>
      </w:tr>
    </w:tbl>
    <w:p w14:paraId="00B60C85" w14:textId="77777777" w:rsidR="00B11270" w:rsidRPr="0016235B" w:rsidRDefault="00B11270" w:rsidP="00B11270">
      <w:pPr>
        <w:rPr>
          <w:rFonts w:ascii="Candara" w:hAnsi="Candara"/>
        </w:rPr>
      </w:pPr>
    </w:p>
    <w:p w14:paraId="424D3A7C" w14:textId="77777777" w:rsidR="00FB5FFD" w:rsidRPr="0016235B" w:rsidRDefault="00FB5FFD" w:rsidP="00672B04">
      <w:pPr>
        <w:spacing w:after="0" w:line="240" w:lineRule="auto"/>
        <w:rPr>
          <w:rFonts w:ascii="Candara" w:eastAsia="Times New Roman" w:hAnsi="Candara" w:cs="Times New Roman"/>
          <w:bCs/>
          <w:lang w:eastAsia="en-GB"/>
        </w:rPr>
      </w:pPr>
    </w:p>
    <w:p w14:paraId="27C97A85" w14:textId="77777777" w:rsidR="00FB5FFD" w:rsidRPr="0016235B" w:rsidRDefault="00FB5FFD" w:rsidP="00672B04">
      <w:pPr>
        <w:spacing w:after="0" w:line="240" w:lineRule="auto"/>
        <w:rPr>
          <w:rFonts w:ascii="Candara" w:eastAsia="Times New Roman" w:hAnsi="Candara" w:cs="Times New Roman"/>
          <w:bCs/>
          <w:lang w:eastAsia="en-GB"/>
        </w:rPr>
      </w:pPr>
    </w:p>
    <w:p w14:paraId="776E0120" w14:textId="0D627D15" w:rsidR="00FB5FFD" w:rsidRPr="0016235B" w:rsidRDefault="00B11270" w:rsidP="005722F2">
      <w:pPr>
        <w:pStyle w:val="Heading2"/>
        <w:numPr>
          <w:ilvl w:val="1"/>
          <w:numId w:val="25"/>
        </w:numPr>
        <w:rPr>
          <w:rFonts w:ascii="Candara" w:hAnsi="Candara"/>
          <w:b/>
          <w:sz w:val="28"/>
          <w:szCs w:val="28"/>
        </w:rPr>
      </w:pPr>
      <w:bookmarkStart w:id="42" w:name="_Toc11494055"/>
      <w:r w:rsidRPr="0016235B">
        <w:rPr>
          <w:rFonts w:ascii="Candara" w:hAnsi="Candara"/>
          <w:b/>
          <w:sz w:val="28"/>
          <w:szCs w:val="28"/>
        </w:rPr>
        <w:t>ARV Medicines</w:t>
      </w:r>
      <w:bookmarkEnd w:id="42"/>
    </w:p>
    <w:p w14:paraId="522E2D66" w14:textId="77777777" w:rsidR="00FB5FFD" w:rsidRPr="0016235B" w:rsidRDefault="00FB5FFD" w:rsidP="00672B04">
      <w:pPr>
        <w:spacing w:after="0" w:line="240" w:lineRule="auto"/>
        <w:rPr>
          <w:rFonts w:ascii="Candara" w:eastAsia="Times New Roman" w:hAnsi="Candara" w:cs="Times New Roman"/>
          <w:bCs/>
          <w:lang w:eastAsia="en-GB"/>
        </w:rPr>
      </w:pPr>
    </w:p>
    <w:p w14:paraId="60C77505" w14:textId="029FAACE" w:rsidR="00BC4FD8" w:rsidRPr="0016235B" w:rsidRDefault="00A317CB" w:rsidP="00A317CB">
      <w:pPr>
        <w:spacing w:after="0" w:line="240" w:lineRule="auto"/>
        <w:jc w:val="both"/>
        <w:rPr>
          <w:rFonts w:ascii="Candara" w:eastAsia="Times New Roman" w:hAnsi="Candara" w:cs="Times New Roman"/>
          <w:bCs/>
          <w:sz w:val="24"/>
          <w:szCs w:val="24"/>
          <w:lang w:eastAsia="en-GB"/>
        </w:rPr>
      </w:pPr>
      <w:r w:rsidRPr="0016235B">
        <w:rPr>
          <w:rFonts w:ascii="Candara" w:eastAsia="Times New Roman" w:hAnsi="Candara" w:cs="Times New Roman"/>
          <w:bCs/>
          <w:sz w:val="24"/>
          <w:szCs w:val="24"/>
          <w:lang w:eastAsia="en-GB"/>
        </w:rPr>
        <w:t xml:space="preserve">To ascertain availability of ARVs, the availability at facilities of twelve </w:t>
      </w:r>
      <w:r w:rsidR="00ED1E7D" w:rsidRPr="0016235B">
        <w:rPr>
          <w:rFonts w:ascii="Candara" w:eastAsia="Times New Roman" w:hAnsi="Candara" w:cs="Times New Roman"/>
          <w:bCs/>
          <w:sz w:val="24"/>
          <w:szCs w:val="24"/>
          <w:lang w:eastAsia="en-GB"/>
        </w:rPr>
        <w:t>antiretrovirals</w:t>
      </w:r>
      <w:r w:rsidRPr="0016235B">
        <w:rPr>
          <w:rFonts w:ascii="Candara" w:eastAsia="Times New Roman" w:hAnsi="Candara" w:cs="Times New Roman"/>
          <w:bCs/>
          <w:sz w:val="24"/>
          <w:szCs w:val="24"/>
          <w:lang w:eastAsia="en-GB"/>
        </w:rPr>
        <w:t xml:space="preserve"> was assessed.</w:t>
      </w:r>
    </w:p>
    <w:p w14:paraId="5340BF06" w14:textId="77777777" w:rsidR="00B11270" w:rsidRPr="0016235B" w:rsidRDefault="00B11270" w:rsidP="00672B04">
      <w:pPr>
        <w:spacing w:after="0" w:line="240" w:lineRule="auto"/>
        <w:rPr>
          <w:rFonts w:ascii="Candara" w:eastAsia="Times New Roman" w:hAnsi="Candara" w:cs="Times New Roman"/>
          <w:bCs/>
          <w:lang w:eastAsia="en-GB"/>
        </w:rPr>
      </w:pPr>
    </w:p>
    <w:p w14:paraId="512A5AA8" w14:textId="77777777" w:rsidR="00FB5FFD" w:rsidRPr="0016235B" w:rsidRDefault="00FB5FFD" w:rsidP="00672B04">
      <w:pPr>
        <w:spacing w:after="0" w:line="240" w:lineRule="auto"/>
        <w:rPr>
          <w:rFonts w:ascii="Candara" w:eastAsia="Times New Roman" w:hAnsi="Candara" w:cs="Times New Roman"/>
          <w:bCs/>
          <w:lang w:eastAsia="en-GB"/>
        </w:rPr>
      </w:pPr>
    </w:p>
    <w:p w14:paraId="3D131ED4" w14:textId="77777777" w:rsidR="00B11270" w:rsidRPr="0016235B" w:rsidRDefault="00B11270" w:rsidP="00672B04">
      <w:pPr>
        <w:spacing w:after="0" w:line="240" w:lineRule="auto"/>
        <w:rPr>
          <w:rFonts w:ascii="Candara" w:eastAsia="Times New Roman" w:hAnsi="Candara" w:cs="Times New Roman"/>
          <w:bCs/>
          <w:lang w:eastAsia="en-GB"/>
        </w:rPr>
      </w:pPr>
    </w:p>
    <w:p w14:paraId="180387DD" w14:textId="77777777" w:rsidR="00672B04"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Mean availability of items of ARVs</w:t>
      </w:r>
    </w:p>
    <w:p w14:paraId="5A7FE84C" w14:textId="29116A29" w:rsidR="00672B04" w:rsidRPr="0016235B" w:rsidRDefault="00B11270" w:rsidP="00672B04">
      <w:pPr>
        <w:rPr>
          <w:rFonts w:ascii="Candara" w:hAnsi="Candara"/>
          <w:b/>
        </w:rPr>
      </w:pPr>
      <w:r w:rsidRPr="0016235B">
        <w:rPr>
          <w:rFonts w:ascii="Candara" w:hAnsi="Candara"/>
          <w:noProof/>
        </w:rPr>
        <w:drawing>
          <wp:inline distT="0" distB="0" distL="0" distR="0" wp14:anchorId="1C2281DC" wp14:editId="799BF944">
            <wp:extent cx="5972175" cy="3848100"/>
            <wp:effectExtent l="0" t="0" r="9525" b="0"/>
            <wp:docPr id="137" name="Chart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1407CDA7" w14:textId="77777777" w:rsidR="005D2E87" w:rsidRPr="0016235B" w:rsidRDefault="005D2E87" w:rsidP="00672B04">
      <w:pPr>
        <w:rPr>
          <w:rFonts w:ascii="Candara" w:hAnsi="Candara"/>
          <w:b/>
        </w:rPr>
      </w:pPr>
    </w:p>
    <w:p w14:paraId="50EE0727" w14:textId="77777777" w:rsidR="00B11270" w:rsidRPr="0016235B" w:rsidRDefault="00B11270" w:rsidP="00672B04">
      <w:pPr>
        <w:rPr>
          <w:rFonts w:ascii="Candara" w:hAnsi="Candara"/>
          <w:b/>
        </w:rPr>
      </w:pPr>
    </w:p>
    <w:p w14:paraId="77FFA298" w14:textId="6E2B8060" w:rsidR="00672B04" w:rsidRPr="0016235B" w:rsidRDefault="00672B04" w:rsidP="00672B04">
      <w:pPr>
        <w:spacing w:after="0" w:line="240" w:lineRule="auto"/>
        <w:rPr>
          <w:rFonts w:ascii="Candara" w:eastAsia="Times New Roman" w:hAnsi="Candara" w:cs="Times New Roman"/>
          <w:b/>
          <w:bCs/>
          <w:lang w:eastAsia="en-GB"/>
        </w:rPr>
      </w:pPr>
      <w:r w:rsidRPr="0016235B">
        <w:rPr>
          <w:rFonts w:ascii="Candara" w:eastAsia="Times New Roman" w:hAnsi="Candara" w:cs="Times New Roman"/>
          <w:b/>
          <w:bCs/>
          <w:lang w:eastAsia="en-GB"/>
        </w:rPr>
        <w:t xml:space="preserve">Mean availability of ARV medicines by key </w:t>
      </w:r>
      <w:proofErr w:type="spellStart"/>
      <w:r w:rsidRPr="0016235B">
        <w:rPr>
          <w:rFonts w:ascii="Candara" w:eastAsia="Times New Roman" w:hAnsi="Candara" w:cs="Times New Roman"/>
          <w:b/>
          <w:bCs/>
          <w:lang w:eastAsia="en-GB"/>
        </w:rPr>
        <w:t>stratifiers</w:t>
      </w:r>
      <w:proofErr w:type="spellEnd"/>
      <w:r w:rsidRPr="0016235B">
        <w:rPr>
          <w:rFonts w:ascii="Candara" w:eastAsia="Times New Roman" w:hAnsi="Candara" w:cs="Times New Roman"/>
          <w:b/>
          <w:bCs/>
          <w:lang w:eastAsia="en-GB"/>
        </w:rPr>
        <w:t xml:space="preserve"> (N=16</w:t>
      </w:r>
      <w:r w:rsidR="003C6847" w:rsidRPr="0016235B">
        <w:rPr>
          <w:rFonts w:ascii="Candara" w:eastAsia="Times New Roman" w:hAnsi="Candara" w:cs="Times New Roman"/>
          <w:b/>
          <w:bCs/>
          <w:lang w:eastAsia="en-GB"/>
        </w:rPr>
        <w:t>6</w:t>
      </w:r>
      <w:r w:rsidRPr="0016235B">
        <w:rPr>
          <w:rFonts w:ascii="Candara" w:eastAsia="Times New Roman" w:hAnsi="Candara" w:cs="Times New Roman"/>
          <w:b/>
          <w:bCs/>
          <w:lang w:eastAsia="en-GB"/>
        </w:rPr>
        <w:t>)</w:t>
      </w:r>
    </w:p>
    <w:p w14:paraId="250D8C25" w14:textId="1FCD7246" w:rsidR="00672B04" w:rsidRPr="0016235B" w:rsidRDefault="00B11270" w:rsidP="00672B04">
      <w:pPr>
        <w:rPr>
          <w:rFonts w:ascii="Candara" w:hAnsi="Candara"/>
          <w:b/>
        </w:rPr>
      </w:pPr>
      <w:r w:rsidRPr="0016235B">
        <w:rPr>
          <w:rFonts w:ascii="Candara" w:hAnsi="Candara"/>
          <w:noProof/>
        </w:rPr>
        <w:drawing>
          <wp:inline distT="0" distB="0" distL="0" distR="0" wp14:anchorId="27A5A5C6" wp14:editId="3BDDEBC7">
            <wp:extent cx="5886450" cy="3962400"/>
            <wp:effectExtent l="0" t="0" r="0" b="0"/>
            <wp:docPr id="138" name="Chart 138"/>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4EB97E49" w14:textId="77777777" w:rsidR="005E3E75" w:rsidRPr="0016235B" w:rsidRDefault="005E3E75" w:rsidP="00672B04">
      <w:pPr>
        <w:spacing w:after="0" w:line="240" w:lineRule="auto"/>
        <w:rPr>
          <w:rFonts w:ascii="Candara" w:eastAsia="Times New Roman" w:hAnsi="Candara" w:cs="Times New Roman"/>
          <w:bCs/>
          <w:sz w:val="24"/>
          <w:szCs w:val="24"/>
          <w:lang w:eastAsia="en-GB"/>
        </w:rPr>
      </w:pPr>
    </w:p>
    <w:p w14:paraId="3D84B52E" w14:textId="77777777" w:rsidR="005E3E75" w:rsidRPr="0016235B" w:rsidRDefault="005E3E75" w:rsidP="00672B04">
      <w:pPr>
        <w:spacing w:after="0" w:line="240" w:lineRule="auto"/>
        <w:rPr>
          <w:rFonts w:ascii="Candara" w:eastAsia="Times New Roman" w:hAnsi="Candara" w:cs="Times New Roman"/>
          <w:bCs/>
          <w:sz w:val="24"/>
          <w:szCs w:val="24"/>
          <w:lang w:eastAsia="en-GB"/>
        </w:rPr>
      </w:pPr>
    </w:p>
    <w:tbl>
      <w:tblPr>
        <w:tblStyle w:val="TableGrid"/>
        <w:tblW w:w="9409" w:type="dxa"/>
        <w:tblLook w:val="04A0" w:firstRow="1" w:lastRow="0" w:firstColumn="1" w:lastColumn="0" w:noHBand="0" w:noVBand="1"/>
      </w:tblPr>
      <w:tblGrid>
        <w:gridCol w:w="9409"/>
      </w:tblGrid>
      <w:tr w:rsidR="003C6847" w:rsidRPr="0016235B" w14:paraId="134EEF50" w14:textId="77777777" w:rsidTr="00397C88">
        <w:trPr>
          <w:trHeight w:val="262"/>
        </w:trPr>
        <w:tc>
          <w:tcPr>
            <w:tcW w:w="9409" w:type="dxa"/>
          </w:tcPr>
          <w:p w14:paraId="07B70531" w14:textId="77777777" w:rsidR="003C6847" w:rsidRPr="0016235B" w:rsidRDefault="003C6847" w:rsidP="00397C88">
            <w:pPr>
              <w:rPr>
                <w:rFonts w:ascii="Candara" w:hAnsi="Candara"/>
                <w:b/>
              </w:rPr>
            </w:pPr>
            <w:r w:rsidRPr="0016235B">
              <w:rPr>
                <w:rFonts w:ascii="Candara" w:hAnsi="Candara"/>
                <w:b/>
              </w:rPr>
              <w:t>Key findings</w:t>
            </w:r>
          </w:p>
        </w:tc>
      </w:tr>
      <w:tr w:rsidR="003C6847" w:rsidRPr="0016235B" w14:paraId="7B0B947C" w14:textId="77777777" w:rsidTr="00397C88">
        <w:trPr>
          <w:trHeight w:val="2663"/>
        </w:trPr>
        <w:tc>
          <w:tcPr>
            <w:tcW w:w="9409" w:type="dxa"/>
          </w:tcPr>
          <w:p w14:paraId="06866DB7" w14:textId="6B443377" w:rsidR="00ED1E7D" w:rsidRPr="0016235B" w:rsidRDefault="00ED1E7D" w:rsidP="006E6772">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46% of the facilities stock ARV medicines. On average, these health facilities had 6 of the 12 (49%) ARV medicines, with only 2% having all the 12 ARV medicines</w:t>
            </w:r>
          </w:p>
          <w:p w14:paraId="6E2BB3A2" w14:textId="469132F2" w:rsidR="00ED1E7D" w:rsidRPr="0016235B" w:rsidRDefault="00ED1E7D" w:rsidP="006E6772">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Regional hospitals had more stock of ARV medicines at 57%, followed by HC IV </w:t>
            </w:r>
            <w:r w:rsidR="006E6772" w:rsidRPr="0016235B">
              <w:rPr>
                <w:rFonts w:ascii="Candara" w:hAnsi="Candara" w:cs="Times New Roman"/>
              </w:rPr>
              <w:t>at</w:t>
            </w:r>
            <w:r w:rsidRPr="0016235B">
              <w:rPr>
                <w:rFonts w:ascii="Candara" w:hAnsi="Candara" w:cs="Times New Roman"/>
              </w:rPr>
              <w:t xml:space="preserve"> 50%. </w:t>
            </w:r>
            <w:r w:rsidR="006E6772" w:rsidRPr="0016235B">
              <w:rPr>
                <w:rFonts w:ascii="Candara" w:hAnsi="Candara" w:cs="Times New Roman"/>
              </w:rPr>
              <w:t xml:space="preserve">On the other hand, only 37% of the </w:t>
            </w:r>
            <w:r w:rsidRPr="0016235B">
              <w:rPr>
                <w:rFonts w:ascii="Candara" w:hAnsi="Candara" w:cs="Times New Roman"/>
              </w:rPr>
              <w:t>Gener</w:t>
            </w:r>
            <w:r w:rsidR="006E6772" w:rsidRPr="0016235B">
              <w:rPr>
                <w:rFonts w:ascii="Candara" w:hAnsi="Candara" w:cs="Times New Roman"/>
              </w:rPr>
              <w:t>al hospitals</w:t>
            </w:r>
            <w:r w:rsidRPr="0016235B">
              <w:rPr>
                <w:rFonts w:ascii="Candara" w:hAnsi="Candara" w:cs="Times New Roman"/>
              </w:rPr>
              <w:t xml:space="preserve"> </w:t>
            </w:r>
            <w:r w:rsidR="006E6772" w:rsidRPr="0016235B">
              <w:rPr>
                <w:rFonts w:ascii="Candara" w:hAnsi="Candara" w:cs="Times New Roman"/>
              </w:rPr>
              <w:t>had ARV medicines</w:t>
            </w:r>
          </w:p>
          <w:p w14:paraId="1D9749DC" w14:textId="139C46FF" w:rsidR="00ED1E7D" w:rsidRPr="0016235B" w:rsidRDefault="006E6772" w:rsidP="006E6772">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ARV medicines were more available in </w:t>
            </w:r>
            <w:r w:rsidR="00ED1E7D" w:rsidRPr="0016235B">
              <w:rPr>
                <w:rFonts w:ascii="Candara" w:hAnsi="Candara" w:cs="Times New Roman"/>
              </w:rPr>
              <w:t xml:space="preserve">Public </w:t>
            </w:r>
            <w:r w:rsidRPr="0016235B">
              <w:rPr>
                <w:rFonts w:ascii="Candara" w:hAnsi="Candara" w:cs="Times New Roman"/>
              </w:rPr>
              <w:t>(27%) than</w:t>
            </w:r>
            <w:r w:rsidR="00ED1E7D" w:rsidRPr="0016235B">
              <w:rPr>
                <w:rFonts w:ascii="Candara" w:hAnsi="Candara" w:cs="Times New Roman"/>
              </w:rPr>
              <w:t xml:space="preserve"> </w:t>
            </w:r>
            <w:r w:rsidRPr="0016235B">
              <w:rPr>
                <w:rFonts w:ascii="Candara" w:hAnsi="Candara" w:cs="Times New Roman"/>
              </w:rPr>
              <w:t>P</w:t>
            </w:r>
            <w:r w:rsidR="00ED1E7D" w:rsidRPr="0016235B">
              <w:rPr>
                <w:rFonts w:ascii="Candara" w:hAnsi="Candara" w:cs="Times New Roman"/>
              </w:rPr>
              <w:t xml:space="preserve">rivate </w:t>
            </w:r>
            <w:r w:rsidRPr="0016235B">
              <w:rPr>
                <w:rFonts w:ascii="Candara" w:hAnsi="Candara" w:cs="Times New Roman"/>
              </w:rPr>
              <w:t xml:space="preserve">health </w:t>
            </w:r>
            <w:r w:rsidR="00ED1E7D" w:rsidRPr="0016235B">
              <w:rPr>
                <w:rFonts w:ascii="Candara" w:hAnsi="Candara" w:cs="Times New Roman"/>
              </w:rPr>
              <w:t>facilities</w:t>
            </w:r>
            <w:r w:rsidRPr="0016235B">
              <w:rPr>
                <w:rFonts w:ascii="Candara" w:hAnsi="Candara" w:cs="Times New Roman"/>
              </w:rPr>
              <w:t xml:space="preserve"> (15%)</w:t>
            </w:r>
          </w:p>
          <w:p w14:paraId="521FDDAA" w14:textId="2FA80B63" w:rsidR="003C6847" w:rsidRPr="0016235B" w:rsidRDefault="006E6772" w:rsidP="006E6772">
            <w:pPr>
              <w:pStyle w:val="ListParagraph"/>
              <w:numPr>
                <w:ilvl w:val="0"/>
                <w:numId w:val="1"/>
              </w:numPr>
              <w:jc w:val="both"/>
              <w:rPr>
                <w:rFonts w:ascii="Candara" w:hAnsi="Candara"/>
              </w:rPr>
            </w:pPr>
            <w:r w:rsidRPr="0016235B">
              <w:rPr>
                <w:rFonts w:ascii="Candara" w:hAnsi="Candara" w:cs="Times New Roman"/>
              </w:rPr>
              <w:t>Of the facilities that stock ARV medicines, 9 in 10 (90%) in</w:t>
            </w:r>
            <w:r w:rsidR="00ED1E7D" w:rsidRPr="0016235B">
              <w:rPr>
                <w:rFonts w:ascii="Candara" w:hAnsi="Candara" w:cs="Times New Roman"/>
              </w:rPr>
              <w:t xml:space="preserve"> North East ha</w:t>
            </w:r>
            <w:r w:rsidRPr="0016235B">
              <w:rPr>
                <w:rFonts w:ascii="Candara" w:hAnsi="Candara" w:cs="Times New Roman"/>
              </w:rPr>
              <w:t>d</w:t>
            </w:r>
            <w:r w:rsidR="00ED1E7D" w:rsidRPr="0016235B">
              <w:rPr>
                <w:rFonts w:ascii="Candara" w:hAnsi="Candara" w:cs="Times New Roman"/>
              </w:rPr>
              <w:t xml:space="preserve"> stock</w:t>
            </w:r>
            <w:r w:rsidRPr="0016235B">
              <w:rPr>
                <w:rFonts w:ascii="Candara" w:hAnsi="Candara" w:cs="Times New Roman"/>
              </w:rPr>
              <w:t>s</w:t>
            </w:r>
            <w:r w:rsidR="00ED1E7D" w:rsidRPr="0016235B">
              <w:rPr>
                <w:rFonts w:ascii="Candara" w:hAnsi="Candara" w:cs="Times New Roman"/>
              </w:rPr>
              <w:t xml:space="preserve"> of </w:t>
            </w:r>
            <w:r w:rsidRPr="0016235B">
              <w:rPr>
                <w:rFonts w:ascii="Candara" w:hAnsi="Candara" w:cs="Times New Roman"/>
              </w:rPr>
              <w:t xml:space="preserve">the medicines while only a third (28%) in </w:t>
            </w:r>
            <w:r w:rsidR="00ED1E7D" w:rsidRPr="0016235B">
              <w:rPr>
                <w:rFonts w:ascii="Candara" w:hAnsi="Candara" w:cs="Times New Roman"/>
              </w:rPr>
              <w:t xml:space="preserve">Central 2 </w:t>
            </w:r>
            <w:r w:rsidRPr="0016235B">
              <w:rPr>
                <w:rFonts w:ascii="Candara" w:hAnsi="Candara" w:cs="Times New Roman"/>
              </w:rPr>
              <w:t>had the medicines</w:t>
            </w:r>
          </w:p>
          <w:p w14:paraId="2B87B493" w14:textId="0BA41398" w:rsidR="00ED1E7D" w:rsidRPr="0016235B" w:rsidRDefault="00ED1E7D" w:rsidP="006E6772">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Rural facilities had the highest stock of ARV medicines 25</w:t>
            </w:r>
            <w:r w:rsidR="005B71F2" w:rsidRPr="0016235B">
              <w:rPr>
                <w:rFonts w:ascii="Candara" w:hAnsi="Candara" w:cs="Times New Roman"/>
              </w:rPr>
              <w:t>% more</w:t>
            </w:r>
            <w:r w:rsidRPr="0016235B">
              <w:rPr>
                <w:rFonts w:ascii="Candara" w:hAnsi="Candara" w:cs="Times New Roman"/>
              </w:rPr>
              <w:t xml:space="preserve"> than urban facilities 15%</w:t>
            </w:r>
          </w:p>
          <w:p w14:paraId="5D35FBD9" w14:textId="02A45B07" w:rsidR="00ED1E7D" w:rsidRPr="0016235B" w:rsidRDefault="006E6772" w:rsidP="006E6772">
            <w:pPr>
              <w:pStyle w:val="ListParagraph"/>
              <w:numPr>
                <w:ilvl w:val="0"/>
                <w:numId w:val="1"/>
              </w:numPr>
              <w:jc w:val="both"/>
              <w:rPr>
                <w:rFonts w:ascii="Candara" w:hAnsi="Candara"/>
              </w:rPr>
            </w:pPr>
            <w:r w:rsidRPr="0016235B">
              <w:rPr>
                <w:rFonts w:ascii="Candara" w:hAnsi="Candara" w:cs="Times New Roman"/>
              </w:rPr>
              <w:t xml:space="preserve">While </w:t>
            </w:r>
            <w:proofErr w:type="spellStart"/>
            <w:r w:rsidRPr="0016235B">
              <w:rPr>
                <w:rFonts w:ascii="Candara" w:hAnsi="Candara" w:cs="Times New Roman"/>
              </w:rPr>
              <w:t>Tenofovir+Lamivudine+Efavirenz</w:t>
            </w:r>
            <w:proofErr w:type="spellEnd"/>
            <w:r w:rsidRPr="0016235B">
              <w:rPr>
                <w:rFonts w:ascii="Candara" w:hAnsi="Candara" w:cs="Times New Roman"/>
              </w:rPr>
              <w:t xml:space="preserve"> (TDF+3TC+EFV) was the most available, </w:t>
            </w:r>
            <w:proofErr w:type="spellStart"/>
            <w:r w:rsidRPr="0016235B">
              <w:rPr>
                <w:rFonts w:ascii="Candara" w:hAnsi="Candara" w:cs="Times New Roman"/>
              </w:rPr>
              <w:t>Tenofovir+Emtricitabine+Efavirenz</w:t>
            </w:r>
            <w:proofErr w:type="spellEnd"/>
            <w:r w:rsidRPr="0016235B">
              <w:rPr>
                <w:rFonts w:ascii="Candara" w:hAnsi="Candara" w:cs="Times New Roman"/>
              </w:rPr>
              <w:t xml:space="preserve"> (TDF+FTC+EFV) was the least available ARV medicine</w:t>
            </w:r>
          </w:p>
        </w:tc>
      </w:tr>
    </w:tbl>
    <w:p w14:paraId="27278DA3" w14:textId="77777777" w:rsidR="005E3E75" w:rsidRPr="0016235B" w:rsidRDefault="005E3E75" w:rsidP="00672B04">
      <w:pPr>
        <w:spacing w:after="0" w:line="240" w:lineRule="auto"/>
        <w:rPr>
          <w:rFonts w:ascii="Candara" w:eastAsia="Times New Roman" w:hAnsi="Candara" w:cs="Times New Roman"/>
          <w:bCs/>
          <w:sz w:val="24"/>
          <w:szCs w:val="24"/>
          <w:lang w:eastAsia="en-GB"/>
        </w:rPr>
      </w:pPr>
    </w:p>
    <w:p w14:paraId="33717D95" w14:textId="77777777" w:rsidR="005E3E75" w:rsidRPr="0016235B" w:rsidRDefault="005E3E75" w:rsidP="00672B04">
      <w:pPr>
        <w:spacing w:after="0" w:line="240" w:lineRule="auto"/>
        <w:rPr>
          <w:rFonts w:ascii="Candara" w:eastAsia="Times New Roman" w:hAnsi="Candara" w:cs="Times New Roman"/>
          <w:bCs/>
          <w:sz w:val="24"/>
          <w:szCs w:val="24"/>
          <w:lang w:eastAsia="en-GB"/>
        </w:rPr>
      </w:pPr>
    </w:p>
    <w:p w14:paraId="23EB8F07" w14:textId="77777777" w:rsidR="005E3E75" w:rsidRPr="0016235B" w:rsidRDefault="005E3E75" w:rsidP="00672B04">
      <w:pPr>
        <w:spacing w:after="0" w:line="240" w:lineRule="auto"/>
        <w:rPr>
          <w:rFonts w:ascii="Candara" w:eastAsia="Times New Roman" w:hAnsi="Candara" w:cs="Times New Roman"/>
          <w:bCs/>
          <w:sz w:val="24"/>
          <w:szCs w:val="24"/>
          <w:lang w:eastAsia="en-GB"/>
        </w:rPr>
      </w:pPr>
    </w:p>
    <w:p w14:paraId="1EDAC77A" w14:textId="4CC399E0" w:rsidR="005E3E75" w:rsidRPr="0016235B" w:rsidRDefault="003C6847" w:rsidP="005722F2">
      <w:pPr>
        <w:pStyle w:val="Heading2"/>
        <w:numPr>
          <w:ilvl w:val="1"/>
          <w:numId w:val="25"/>
        </w:numPr>
        <w:rPr>
          <w:rFonts w:ascii="Candara" w:hAnsi="Candara"/>
          <w:b/>
          <w:sz w:val="28"/>
          <w:szCs w:val="28"/>
        </w:rPr>
      </w:pPr>
      <w:bookmarkStart w:id="43" w:name="_Toc11494056"/>
      <w:r w:rsidRPr="0016235B">
        <w:rPr>
          <w:rFonts w:ascii="Candara" w:hAnsi="Candara"/>
          <w:b/>
          <w:sz w:val="28"/>
          <w:szCs w:val="28"/>
        </w:rPr>
        <w:t>Protease inhibitors</w:t>
      </w:r>
      <w:bookmarkEnd w:id="43"/>
    </w:p>
    <w:p w14:paraId="57CAF6E8" w14:textId="77777777" w:rsidR="00BC4FD8" w:rsidRPr="0016235B" w:rsidRDefault="00BC4FD8">
      <w:pPr>
        <w:rPr>
          <w:rFonts w:ascii="Candara" w:eastAsia="Times New Roman" w:hAnsi="Candara" w:cs="Times New Roman"/>
          <w:bCs/>
          <w:sz w:val="24"/>
          <w:szCs w:val="24"/>
          <w:lang w:eastAsia="en-GB"/>
        </w:rPr>
      </w:pPr>
    </w:p>
    <w:p w14:paraId="206F16B9" w14:textId="7AE8A506" w:rsidR="00BC4FD8" w:rsidRPr="0016235B" w:rsidRDefault="000C57A3" w:rsidP="000C57A3">
      <w:pPr>
        <w:spacing w:after="0" w:line="240" w:lineRule="auto"/>
        <w:jc w:val="both"/>
        <w:rPr>
          <w:rFonts w:ascii="Candara" w:eastAsia="Times New Roman" w:hAnsi="Candara" w:cs="Times New Roman"/>
          <w:bCs/>
          <w:sz w:val="24"/>
          <w:szCs w:val="24"/>
          <w:lang w:eastAsia="en-GB"/>
        </w:rPr>
      </w:pPr>
      <w:r w:rsidRPr="0016235B">
        <w:rPr>
          <w:rFonts w:ascii="Candara" w:eastAsia="Times New Roman" w:hAnsi="Candara" w:cs="Times New Roman"/>
          <w:bCs/>
          <w:sz w:val="24"/>
          <w:szCs w:val="24"/>
          <w:lang w:eastAsia="en-GB"/>
        </w:rPr>
        <w:t>The following 6 protease inhibitors were assessed for availability during SARA; Dolutegravir (DTG), Atazanavir (ATV), Lopinavir (LPV) pellet, Saquinavir (SQV), Ritonavir (RTV) and Lopinavir (LPV) tab.</w:t>
      </w:r>
    </w:p>
    <w:p w14:paraId="1DCD3C85" w14:textId="77777777" w:rsidR="003C6847" w:rsidRPr="0016235B" w:rsidRDefault="003C6847">
      <w:pPr>
        <w:rPr>
          <w:rFonts w:ascii="Candara" w:eastAsia="Times New Roman" w:hAnsi="Candara" w:cs="Times New Roman"/>
          <w:bCs/>
          <w:sz w:val="24"/>
          <w:szCs w:val="24"/>
          <w:lang w:eastAsia="en-GB"/>
        </w:rPr>
      </w:pPr>
      <w:r w:rsidRPr="0016235B">
        <w:rPr>
          <w:rFonts w:ascii="Candara" w:eastAsia="Times New Roman" w:hAnsi="Candara" w:cs="Times New Roman"/>
          <w:bCs/>
          <w:sz w:val="24"/>
          <w:szCs w:val="24"/>
          <w:lang w:eastAsia="en-GB"/>
        </w:rPr>
        <w:br w:type="page"/>
      </w:r>
    </w:p>
    <w:p w14:paraId="4BD48474" w14:textId="77777777" w:rsidR="003C6847" w:rsidRPr="0016235B" w:rsidRDefault="003C6847" w:rsidP="003C6847">
      <w:pPr>
        <w:spacing w:after="0" w:line="240" w:lineRule="auto"/>
        <w:rPr>
          <w:rFonts w:ascii="Candara" w:eastAsia="Times New Roman" w:hAnsi="Candara" w:cs="Times New Roman"/>
          <w:b/>
          <w:bCs/>
          <w:lang w:eastAsia="en-GB"/>
        </w:rPr>
      </w:pPr>
      <w:r w:rsidRPr="0016235B">
        <w:rPr>
          <w:rFonts w:ascii="Candara" w:eastAsia="Times New Roman" w:hAnsi="Candara" w:cs="Times New Roman"/>
          <w:b/>
          <w:bCs/>
          <w:lang w:eastAsia="en-GB"/>
        </w:rPr>
        <w:t xml:space="preserve">Mean availability of protease inhibitors by key </w:t>
      </w:r>
      <w:proofErr w:type="spellStart"/>
      <w:r w:rsidRPr="0016235B">
        <w:rPr>
          <w:rFonts w:ascii="Candara" w:eastAsia="Times New Roman" w:hAnsi="Candara" w:cs="Times New Roman"/>
          <w:b/>
          <w:bCs/>
          <w:lang w:eastAsia="en-GB"/>
        </w:rPr>
        <w:t>stratifiers</w:t>
      </w:r>
      <w:proofErr w:type="spellEnd"/>
      <w:r w:rsidRPr="0016235B">
        <w:rPr>
          <w:rFonts w:ascii="Candara" w:eastAsia="Times New Roman" w:hAnsi="Candara" w:cs="Times New Roman"/>
          <w:b/>
          <w:bCs/>
          <w:lang w:eastAsia="en-GB"/>
        </w:rPr>
        <w:t xml:space="preserve"> (N=166)</w:t>
      </w:r>
    </w:p>
    <w:p w14:paraId="32EA3FB7" w14:textId="5DAF9DB3" w:rsidR="003C6847" w:rsidRPr="0016235B" w:rsidRDefault="00A02115" w:rsidP="003C6847">
      <w:pPr>
        <w:rPr>
          <w:rFonts w:ascii="Candara" w:hAnsi="Candara"/>
          <w:b/>
        </w:rPr>
      </w:pPr>
      <w:r w:rsidRPr="0016235B">
        <w:rPr>
          <w:rFonts w:ascii="Candara" w:hAnsi="Candara"/>
          <w:noProof/>
        </w:rPr>
        <w:drawing>
          <wp:inline distT="0" distB="0" distL="0" distR="0" wp14:anchorId="3541B8F0" wp14:editId="2803E02E">
            <wp:extent cx="5934075" cy="4181475"/>
            <wp:effectExtent l="0" t="0" r="9525" b="952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6A4D5E8D" w14:textId="77777777" w:rsidR="003C6847" w:rsidRPr="0016235B" w:rsidRDefault="003C6847" w:rsidP="00672B04">
      <w:pPr>
        <w:spacing w:after="0" w:line="240" w:lineRule="auto"/>
        <w:rPr>
          <w:rFonts w:ascii="Candara" w:eastAsia="Times New Roman" w:hAnsi="Candara" w:cs="Times New Roman"/>
          <w:bCs/>
          <w:sz w:val="24"/>
          <w:szCs w:val="24"/>
          <w:lang w:eastAsia="en-GB"/>
        </w:rPr>
      </w:pPr>
    </w:p>
    <w:p w14:paraId="35312688" w14:textId="77777777" w:rsidR="003C6847" w:rsidRPr="0016235B" w:rsidRDefault="003C6847" w:rsidP="00672B04">
      <w:pPr>
        <w:spacing w:after="0" w:line="240" w:lineRule="auto"/>
        <w:rPr>
          <w:rFonts w:ascii="Candara" w:eastAsia="Times New Roman" w:hAnsi="Candara" w:cs="Times New Roman"/>
          <w:bCs/>
          <w:sz w:val="24"/>
          <w:szCs w:val="24"/>
          <w:lang w:eastAsia="en-GB"/>
        </w:rPr>
      </w:pPr>
    </w:p>
    <w:p w14:paraId="39A00B0B" w14:textId="77777777" w:rsidR="003C6847" w:rsidRPr="0016235B" w:rsidRDefault="003C6847" w:rsidP="00672B04">
      <w:pPr>
        <w:spacing w:after="0" w:line="240" w:lineRule="auto"/>
        <w:rPr>
          <w:rFonts w:ascii="Candara" w:eastAsia="Times New Roman" w:hAnsi="Candara" w:cs="Times New Roman"/>
          <w:bCs/>
          <w:sz w:val="24"/>
          <w:szCs w:val="24"/>
          <w:lang w:eastAsia="en-GB"/>
        </w:rPr>
      </w:pPr>
    </w:p>
    <w:p w14:paraId="325D27B0" w14:textId="15E8C4A9" w:rsidR="00672B04" w:rsidRPr="0016235B" w:rsidRDefault="00672B04" w:rsidP="00672B04">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Mean availability of items of protease inhibitors</w:t>
      </w:r>
    </w:p>
    <w:p w14:paraId="3AC85531" w14:textId="48A8D42F" w:rsidR="00672B04" w:rsidRPr="0016235B" w:rsidRDefault="003C6847" w:rsidP="00672B04">
      <w:pPr>
        <w:rPr>
          <w:rFonts w:ascii="Candara" w:hAnsi="Candara"/>
          <w:b/>
        </w:rPr>
      </w:pPr>
      <w:r w:rsidRPr="0016235B">
        <w:rPr>
          <w:rFonts w:ascii="Candara" w:hAnsi="Candara"/>
          <w:noProof/>
        </w:rPr>
        <w:drawing>
          <wp:inline distT="0" distB="0" distL="0" distR="0" wp14:anchorId="0FE0F7C1" wp14:editId="06FC0285">
            <wp:extent cx="5895975" cy="3676650"/>
            <wp:effectExtent l="0" t="0" r="9525" b="0"/>
            <wp:docPr id="140" name="Chart 140"/>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3FAEAE04" w14:textId="77777777" w:rsidR="003C6847" w:rsidRPr="0016235B" w:rsidRDefault="003C6847" w:rsidP="00FE60D8">
      <w:pPr>
        <w:spacing w:after="0" w:line="240" w:lineRule="auto"/>
        <w:rPr>
          <w:rFonts w:ascii="Candara" w:eastAsia="Times New Roman" w:hAnsi="Candara" w:cs="Times New Roman"/>
          <w:bCs/>
          <w:lang w:eastAsia="en-GB"/>
        </w:rPr>
      </w:pPr>
    </w:p>
    <w:p w14:paraId="2B56B429" w14:textId="77777777" w:rsidR="003C6847" w:rsidRPr="0016235B" w:rsidRDefault="003C6847" w:rsidP="00FE60D8">
      <w:pPr>
        <w:spacing w:after="0" w:line="240" w:lineRule="auto"/>
        <w:rPr>
          <w:rFonts w:ascii="Candara" w:eastAsia="Times New Roman" w:hAnsi="Candara" w:cs="Times New Roman"/>
          <w:bCs/>
          <w:lang w:eastAsia="en-GB"/>
        </w:rPr>
      </w:pPr>
    </w:p>
    <w:p w14:paraId="6FB6A00F" w14:textId="77777777" w:rsidR="003C6847" w:rsidRPr="0016235B" w:rsidRDefault="003C6847" w:rsidP="00FE60D8">
      <w:pPr>
        <w:spacing w:after="0" w:line="240" w:lineRule="auto"/>
        <w:rPr>
          <w:rFonts w:ascii="Candara" w:eastAsia="Times New Roman" w:hAnsi="Candara" w:cs="Times New Roman"/>
          <w:bCs/>
          <w:lang w:eastAsia="en-GB"/>
        </w:rPr>
      </w:pPr>
    </w:p>
    <w:tbl>
      <w:tblPr>
        <w:tblStyle w:val="TableGrid"/>
        <w:tblW w:w="9409" w:type="dxa"/>
        <w:tblLook w:val="04A0" w:firstRow="1" w:lastRow="0" w:firstColumn="1" w:lastColumn="0" w:noHBand="0" w:noVBand="1"/>
      </w:tblPr>
      <w:tblGrid>
        <w:gridCol w:w="9409"/>
      </w:tblGrid>
      <w:tr w:rsidR="00360911" w:rsidRPr="0016235B" w14:paraId="5CC2CCC9" w14:textId="77777777" w:rsidTr="00397C88">
        <w:trPr>
          <w:trHeight w:val="262"/>
        </w:trPr>
        <w:tc>
          <w:tcPr>
            <w:tcW w:w="9409" w:type="dxa"/>
          </w:tcPr>
          <w:p w14:paraId="0CC42B6E" w14:textId="77777777" w:rsidR="00360911" w:rsidRPr="0016235B" w:rsidRDefault="00360911" w:rsidP="00397C88">
            <w:pPr>
              <w:rPr>
                <w:rFonts w:ascii="Candara" w:hAnsi="Candara"/>
                <w:b/>
              </w:rPr>
            </w:pPr>
            <w:r w:rsidRPr="0016235B">
              <w:rPr>
                <w:rFonts w:ascii="Candara" w:hAnsi="Candara"/>
                <w:b/>
              </w:rPr>
              <w:t>Key findings</w:t>
            </w:r>
          </w:p>
        </w:tc>
      </w:tr>
      <w:tr w:rsidR="00360911" w:rsidRPr="0016235B" w14:paraId="7503DF53" w14:textId="77777777" w:rsidTr="00397C88">
        <w:trPr>
          <w:trHeight w:val="2663"/>
        </w:trPr>
        <w:tc>
          <w:tcPr>
            <w:tcW w:w="9409" w:type="dxa"/>
          </w:tcPr>
          <w:p w14:paraId="4C5257E7" w14:textId="730242F5" w:rsidR="000C57A3" w:rsidRPr="0016235B" w:rsidRDefault="000C57A3" w:rsidP="000C57A3">
            <w:pPr>
              <w:pStyle w:val="ListParagraph"/>
              <w:numPr>
                <w:ilvl w:val="0"/>
                <w:numId w:val="1"/>
              </w:numPr>
              <w:spacing w:after="120" w:line="264" w:lineRule="auto"/>
              <w:rPr>
                <w:rFonts w:ascii="Candara" w:hAnsi="Candara" w:cs="Times New Roman"/>
              </w:rPr>
            </w:pPr>
            <w:r w:rsidRPr="0016235B">
              <w:rPr>
                <w:rFonts w:ascii="Candara" w:hAnsi="Candara" w:cs="Times New Roman"/>
              </w:rPr>
              <w:t>29% of the facilities stock</w:t>
            </w:r>
            <w:r w:rsidR="005B71F2">
              <w:rPr>
                <w:rFonts w:ascii="Candara" w:hAnsi="Candara" w:cs="Times New Roman"/>
              </w:rPr>
              <w:t>ed protease</w:t>
            </w:r>
            <w:r w:rsidRPr="0016235B">
              <w:rPr>
                <w:rFonts w:ascii="Candara" w:hAnsi="Candara" w:cs="Times New Roman"/>
              </w:rPr>
              <w:t xml:space="preserve"> inhibitors for treatment of HIV/A</w:t>
            </w:r>
            <w:r w:rsidR="005B71F2">
              <w:rPr>
                <w:rFonts w:ascii="Candara" w:hAnsi="Candara" w:cs="Times New Roman"/>
              </w:rPr>
              <w:t>IDS</w:t>
            </w:r>
            <w:r w:rsidRPr="0016235B">
              <w:rPr>
                <w:rFonts w:ascii="Candara" w:hAnsi="Candara" w:cs="Times New Roman"/>
              </w:rPr>
              <w:t>. They stocked on average about 3 of the 6 (43%) protease inhibitors</w:t>
            </w:r>
            <w:r w:rsidR="005B71F2">
              <w:rPr>
                <w:rFonts w:ascii="Candara" w:hAnsi="Candara" w:cs="Times New Roman"/>
              </w:rPr>
              <w:t xml:space="preserve"> assessed</w:t>
            </w:r>
          </w:p>
          <w:p w14:paraId="5282679A" w14:textId="002BA2D7" w:rsidR="000C57A3" w:rsidRPr="0016235B" w:rsidRDefault="000C57A3" w:rsidP="000C57A3">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Of the facilities that stocked protease inhibitors, 3% of the facilities </w:t>
            </w:r>
            <w:r w:rsidR="003C6D22" w:rsidRPr="0016235B">
              <w:rPr>
                <w:rFonts w:ascii="Candara" w:hAnsi="Candara" w:cs="Times New Roman"/>
              </w:rPr>
              <w:t>stocked</w:t>
            </w:r>
            <w:r w:rsidRPr="0016235B">
              <w:rPr>
                <w:rFonts w:ascii="Candara" w:hAnsi="Candara" w:cs="Times New Roman"/>
              </w:rPr>
              <w:t xml:space="preserve"> all the 7 </w:t>
            </w:r>
            <w:r w:rsidR="003C6D22" w:rsidRPr="0016235B">
              <w:rPr>
                <w:rFonts w:ascii="Candara" w:hAnsi="Candara" w:cs="Times New Roman"/>
              </w:rPr>
              <w:t>inhibitors</w:t>
            </w:r>
          </w:p>
          <w:p w14:paraId="6FCD5350" w14:textId="68B3C3B9" w:rsidR="000C57A3" w:rsidRPr="0016235B" w:rsidRDefault="000C57A3" w:rsidP="003C6D22">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Lopinavir tabs </w:t>
            </w:r>
            <w:r w:rsidR="005B71F2">
              <w:rPr>
                <w:rFonts w:ascii="Candara" w:hAnsi="Candara" w:cs="Times New Roman"/>
              </w:rPr>
              <w:t>we</w:t>
            </w:r>
            <w:r w:rsidRPr="0016235B">
              <w:rPr>
                <w:rFonts w:ascii="Candara" w:hAnsi="Candara" w:cs="Times New Roman"/>
              </w:rPr>
              <w:t xml:space="preserve">re the most stocked medicine </w:t>
            </w:r>
            <w:r w:rsidR="003C6D22" w:rsidRPr="0016235B">
              <w:rPr>
                <w:rFonts w:ascii="Candara" w:hAnsi="Candara" w:cs="Times New Roman"/>
              </w:rPr>
              <w:t>(</w:t>
            </w:r>
            <w:r w:rsidRPr="0016235B">
              <w:rPr>
                <w:rFonts w:ascii="Candara" w:hAnsi="Candara" w:cs="Times New Roman"/>
              </w:rPr>
              <w:t>6</w:t>
            </w:r>
            <w:r w:rsidR="003C6D22" w:rsidRPr="0016235B">
              <w:rPr>
                <w:rFonts w:ascii="Candara" w:hAnsi="Candara" w:cs="Times New Roman"/>
              </w:rPr>
              <w:t>4</w:t>
            </w:r>
            <w:r w:rsidRPr="0016235B">
              <w:rPr>
                <w:rFonts w:ascii="Candara" w:hAnsi="Candara" w:cs="Times New Roman"/>
              </w:rPr>
              <w:t>%</w:t>
            </w:r>
            <w:r w:rsidR="003C6D22" w:rsidRPr="0016235B">
              <w:rPr>
                <w:rFonts w:ascii="Candara" w:hAnsi="Candara" w:cs="Times New Roman"/>
              </w:rPr>
              <w:t>)</w:t>
            </w:r>
            <w:r w:rsidRPr="0016235B">
              <w:rPr>
                <w:rFonts w:ascii="Candara" w:hAnsi="Candara" w:cs="Times New Roman"/>
              </w:rPr>
              <w:t xml:space="preserve"> in health facilities and the least stocked medicine </w:t>
            </w:r>
            <w:r w:rsidR="005B71F2">
              <w:rPr>
                <w:rFonts w:ascii="Candara" w:hAnsi="Candara" w:cs="Times New Roman"/>
              </w:rPr>
              <w:t>wa</w:t>
            </w:r>
            <w:r w:rsidRPr="0016235B">
              <w:rPr>
                <w:rFonts w:ascii="Candara" w:hAnsi="Candara" w:cs="Times New Roman"/>
              </w:rPr>
              <w:t xml:space="preserve">s </w:t>
            </w:r>
            <w:r w:rsidR="003C6D22" w:rsidRPr="0016235B">
              <w:rPr>
                <w:rFonts w:ascii="Candara" w:hAnsi="Candara" w:cs="Times New Roman"/>
              </w:rPr>
              <w:t>Dolutegravir</w:t>
            </w:r>
            <w:r w:rsidRPr="0016235B">
              <w:rPr>
                <w:rFonts w:ascii="Candara" w:hAnsi="Candara" w:cs="Times New Roman"/>
              </w:rPr>
              <w:t xml:space="preserve"> </w:t>
            </w:r>
            <w:r w:rsidR="003C6D22" w:rsidRPr="0016235B">
              <w:rPr>
                <w:rFonts w:ascii="Candara" w:hAnsi="Candara" w:cs="Times New Roman"/>
              </w:rPr>
              <w:t xml:space="preserve">in </w:t>
            </w:r>
            <w:r w:rsidRPr="0016235B">
              <w:rPr>
                <w:rFonts w:ascii="Candara" w:hAnsi="Candara" w:cs="Times New Roman"/>
              </w:rPr>
              <w:t>2</w:t>
            </w:r>
            <w:r w:rsidR="003C6D22" w:rsidRPr="0016235B">
              <w:rPr>
                <w:rFonts w:ascii="Candara" w:hAnsi="Candara" w:cs="Times New Roman"/>
              </w:rPr>
              <w:t>0</w:t>
            </w:r>
            <w:r w:rsidRPr="0016235B">
              <w:rPr>
                <w:rFonts w:ascii="Candara" w:hAnsi="Candara" w:cs="Times New Roman"/>
              </w:rPr>
              <w:t>%</w:t>
            </w:r>
            <w:r w:rsidR="003C6D22" w:rsidRPr="0016235B">
              <w:rPr>
                <w:rFonts w:ascii="Candara" w:hAnsi="Candara" w:cs="Times New Roman"/>
              </w:rPr>
              <w:t xml:space="preserve"> of the facilities</w:t>
            </w:r>
          </w:p>
          <w:p w14:paraId="33021222" w14:textId="53B12270" w:rsidR="000C57A3" w:rsidRPr="0016235B" w:rsidRDefault="00A02115" w:rsidP="000C57A3">
            <w:pPr>
              <w:pStyle w:val="ListParagraph"/>
              <w:numPr>
                <w:ilvl w:val="0"/>
                <w:numId w:val="1"/>
              </w:numPr>
              <w:spacing w:after="120" w:line="264" w:lineRule="auto"/>
              <w:rPr>
                <w:rFonts w:ascii="Candara" w:hAnsi="Candara" w:cs="Times New Roman"/>
              </w:rPr>
            </w:pPr>
            <w:r w:rsidRPr="0016235B">
              <w:rPr>
                <w:rFonts w:ascii="Candara" w:hAnsi="Candara" w:cs="Times New Roman"/>
              </w:rPr>
              <w:t>Just over a third (35%)</w:t>
            </w:r>
            <w:r w:rsidR="000C57A3" w:rsidRPr="0016235B">
              <w:rPr>
                <w:rFonts w:ascii="Candara" w:hAnsi="Candara" w:cs="Times New Roman"/>
              </w:rPr>
              <w:t xml:space="preserve"> </w:t>
            </w:r>
            <w:r w:rsidRPr="0016235B">
              <w:rPr>
                <w:rFonts w:ascii="Candara" w:hAnsi="Candara" w:cs="Times New Roman"/>
              </w:rPr>
              <w:t xml:space="preserve">of the </w:t>
            </w:r>
            <w:r w:rsidR="000C57A3" w:rsidRPr="0016235B">
              <w:rPr>
                <w:rFonts w:ascii="Candara" w:hAnsi="Candara" w:cs="Times New Roman"/>
              </w:rPr>
              <w:t>Regional</w:t>
            </w:r>
            <w:r w:rsidR="005B71F2">
              <w:rPr>
                <w:rFonts w:ascii="Candara" w:hAnsi="Candara" w:cs="Times New Roman"/>
              </w:rPr>
              <w:t xml:space="preserve"> Referral H</w:t>
            </w:r>
            <w:r w:rsidR="000C57A3" w:rsidRPr="0016235B">
              <w:rPr>
                <w:rFonts w:ascii="Candara" w:hAnsi="Candara" w:cs="Times New Roman"/>
              </w:rPr>
              <w:t>ospitals ha</w:t>
            </w:r>
            <w:r w:rsidR="005B71F2">
              <w:rPr>
                <w:rFonts w:ascii="Candara" w:hAnsi="Candara" w:cs="Times New Roman"/>
              </w:rPr>
              <w:t>d</w:t>
            </w:r>
            <w:r w:rsidR="000C57A3" w:rsidRPr="0016235B">
              <w:rPr>
                <w:rFonts w:ascii="Candara" w:hAnsi="Candara" w:cs="Times New Roman"/>
              </w:rPr>
              <w:t xml:space="preserve"> protease inhibitors followed by </w:t>
            </w:r>
            <w:r w:rsidRPr="0016235B">
              <w:rPr>
                <w:rFonts w:ascii="Candara" w:hAnsi="Candara" w:cs="Times New Roman"/>
              </w:rPr>
              <w:t xml:space="preserve">General </w:t>
            </w:r>
            <w:r w:rsidR="005B71F2">
              <w:rPr>
                <w:rFonts w:ascii="Candara" w:hAnsi="Candara" w:cs="Times New Roman"/>
              </w:rPr>
              <w:t>H</w:t>
            </w:r>
            <w:r w:rsidRPr="0016235B">
              <w:rPr>
                <w:rFonts w:ascii="Candara" w:hAnsi="Candara" w:cs="Times New Roman"/>
              </w:rPr>
              <w:t xml:space="preserve">ospitals and </w:t>
            </w:r>
            <w:r w:rsidR="000C57A3" w:rsidRPr="0016235B">
              <w:rPr>
                <w:rFonts w:ascii="Candara" w:hAnsi="Candara" w:cs="Times New Roman"/>
              </w:rPr>
              <w:t>HC</w:t>
            </w:r>
            <w:r w:rsidRPr="0016235B">
              <w:rPr>
                <w:rFonts w:ascii="Candara" w:hAnsi="Candara" w:cs="Times New Roman"/>
              </w:rPr>
              <w:t xml:space="preserve"> </w:t>
            </w:r>
            <w:r w:rsidR="000C57A3" w:rsidRPr="0016235B">
              <w:rPr>
                <w:rFonts w:ascii="Candara" w:hAnsi="Candara" w:cs="Times New Roman"/>
              </w:rPr>
              <w:t xml:space="preserve">IV </w:t>
            </w:r>
            <w:r w:rsidR="001151D3">
              <w:rPr>
                <w:rFonts w:ascii="Candara" w:hAnsi="Candara" w:cs="Times New Roman"/>
              </w:rPr>
              <w:t xml:space="preserve">both </w:t>
            </w:r>
            <w:r w:rsidRPr="0016235B">
              <w:rPr>
                <w:rFonts w:ascii="Candara" w:hAnsi="Candara" w:cs="Times New Roman"/>
              </w:rPr>
              <w:t xml:space="preserve">at </w:t>
            </w:r>
            <w:r w:rsidR="000C57A3" w:rsidRPr="0016235B">
              <w:rPr>
                <w:rFonts w:ascii="Candara" w:hAnsi="Candara" w:cs="Times New Roman"/>
              </w:rPr>
              <w:t xml:space="preserve">27% </w:t>
            </w:r>
          </w:p>
          <w:p w14:paraId="38B43938" w14:textId="71EFB42B" w:rsidR="00360911" w:rsidRPr="0016235B" w:rsidRDefault="00A02115" w:rsidP="005B71F2">
            <w:pPr>
              <w:pStyle w:val="ListParagraph"/>
              <w:numPr>
                <w:ilvl w:val="0"/>
                <w:numId w:val="1"/>
              </w:numPr>
              <w:spacing w:after="120" w:line="264" w:lineRule="auto"/>
              <w:rPr>
                <w:rFonts w:ascii="Candara" w:hAnsi="Candara"/>
              </w:rPr>
            </w:pPr>
            <w:r w:rsidRPr="0016235B">
              <w:rPr>
                <w:rFonts w:ascii="Candara" w:hAnsi="Candara" w:cs="Times New Roman"/>
              </w:rPr>
              <w:t>Nearly all (96%) f</w:t>
            </w:r>
            <w:r w:rsidR="000C57A3" w:rsidRPr="0016235B">
              <w:rPr>
                <w:rFonts w:ascii="Candara" w:hAnsi="Candara" w:cs="Times New Roman"/>
              </w:rPr>
              <w:t xml:space="preserve">acilities </w:t>
            </w:r>
            <w:r w:rsidR="004527D9" w:rsidRPr="0016235B">
              <w:rPr>
                <w:rFonts w:ascii="Candara" w:hAnsi="Candara" w:cs="Times New Roman"/>
              </w:rPr>
              <w:t>of those that stocked</w:t>
            </w:r>
            <w:r w:rsidR="001151D3">
              <w:rPr>
                <w:rFonts w:ascii="Candara" w:hAnsi="Candara" w:cs="Times New Roman"/>
              </w:rPr>
              <w:t xml:space="preserve"> protease</w:t>
            </w:r>
            <w:r w:rsidR="004527D9" w:rsidRPr="0016235B">
              <w:rPr>
                <w:rFonts w:ascii="Candara" w:hAnsi="Candara" w:cs="Times New Roman"/>
              </w:rPr>
              <w:t xml:space="preserve"> inhibitors </w:t>
            </w:r>
            <w:r w:rsidR="000C57A3" w:rsidRPr="0016235B">
              <w:rPr>
                <w:rFonts w:ascii="Candara" w:hAnsi="Candara" w:cs="Times New Roman"/>
              </w:rPr>
              <w:t>in North East had protease inhibitors</w:t>
            </w:r>
            <w:r w:rsidR="004527D9" w:rsidRPr="0016235B">
              <w:rPr>
                <w:rFonts w:ascii="Candara" w:hAnsi="Candara" w:cs="Times New Roman"/>
              </w:rPr>
              <w:t>, while only</w:t>
            </w:r>
            <w:r w:rsidR="000C57A3" w:rsidRPr="0016235B">
              <w:rPr>
                <w:rFonts w:ascii="Candara" w:hAnsi="Candara" w:cs="Times New Roman"/>
              </w:rPr>
              <w:t xml:space="preserve"> </w:t>
            </w:r>
            <w:r w:rsidR="004527D9" w:rsidRPr="0016235B">
              <w:rPr>
                <w:rFonts w:ascii="Candara" w:hAnsi="Candara" w:cs="Times New Roman"/>
              </w:rPr>
              <w:t>10%</w:t>
            </w:r>
            <w:r w:rsidR="000C57A3" w:rsidRPr="0016235B">
              <w:rPr>
                <w:rFonts w:ascii="Candara" w:hAnsi="Candara" w:cs="Times New Roman"/>
              </w:rPr>
              <w:t xml:space="preserve"> </w:t>
            </w:r>
            <w:r w:rsidR="004527D9" w:rsidRPr="0016235B">
              <w:rPr>
                <w:rFonts w:ascii="Candara" w:hAnsi="Candara" w:cs="Times New Roman"/>
              </w:rPr>
              <w:t>those in South-West had the medicines</w:t>
            </w:r>
            <w:r w:rsidR="000C57A3" w:rsidRPr="0016235B">
              <w:rPr>
                <w:rFonts w:ascii="Candara" w:hAnsi="Candara" w:cs="Times New Roman"/>
              </w:rPr>
              <w:t xml:space="preserve"> </w:t>
            </w:r>
          </w:p>
        </w:tc>
      </w:tr>
    </w:tbl>
    <w:p w14:paraId="419C9314" w14:textId="77777777" w:rsidR="003C6847" w:rsidRPr="0016235B" w:rsidRDefault="003C6847" w:rsidP="00FE60D8">
      <w:pPr>
        <w:spacing w:after="0" w:line="240" w:lineRule="auto"/>
        <w:rPr>
          <w:rFonts w:ascii="Candara" w:eastAsia="Times New Roman" w:hAnsi="Candara" w:cs="Times New Roman"/>
          <w:bCs/>
          <w:lang w:eastAsia="en-GB"/>
        </w:rPr>
      </w:pPr>
    </w:p>
    <w:p w14:paraId="2EC3346B" w14:textId="77777777" w:rsidR="003C6847" w:rsidRPr="0016235B" w:rsidRDefault="003C6847" w:rsidP="00FE60D8">
      <w:pPr>
        <w:spacing w:after="0" w:line="240" w:lineRule="auto"/>
        <w:rPr>
          <w:rFonts w:ascii="Candara" w:eastAsia="Times New Roman" w:hAnsi="Candara" w:cs="Times New Roman"/>
          <w:bCs/>
          <w:lang w:eastAsia="en-GB"/>
        </w:rPr>
      </w:pPr>
    </w:p>
    <w:p w14:paraId="11BEB1A9" w14:textId="77777777" w:rsidR="003C6847" w:rsidRPr="0016235B" w:rsidRDefault="003C6847" w:rsidP="00FE60D8">
      <w:pPr>
        <w:spacing w:after="0" w:line="240" w:lineRule="auto"/>
        <w:rPr>
          <w:rFonts w:ascii="Candara" w:eastAsia="Times New Roman" w:hAnsi="Candara" w:cs="Times New Roman"/>
          <w:bCs/>
          <w:lang w:eastAsia="en-GB"/>
        </w:rPr>
      </w:pPr>
    </w:p>
    <w:p w14:paraId="5BB24A21" w14:textId="77777777" w:rsidR="003C6847" w:rsidRPr="0016235B" w:rsidRDefault="003C6847" w:rsidP="00FE60D8">
      <w:pPr>
        <w:spacing w:after="0" w:line="240" w:lineRule="auto"/>
        <w:rPr>
          <w:rFonts w:ascii="Candara" w:eastAsia="Times New Roman" w:hAnsi="Candara" w:cs="Times New Roman"/>
          <w:bCs/>
          <w:lang w:eastAsia="en-GB"/>
        </w:rPr>
      </w:pPr>
    </w:p>
    <w:p w14:paraId="61D2B47F" w14:textId="77777777" w:rsidR="003C6847" w:rsidRPr="0016235B" w:rsidRDefault="003C6847" w:rsidP="00FE60D8">
      <w:pPr>
        <w:spacing w:after="0" w:line="240" w:lineRule="auto"/>
        <w:rPr>
          <w:rFonts w:ascii="Candara" w:eastAsia="Times New Roman" w:hAnsi="Candara" w:cs="Times New Roman"/>
          <w:bCs/>
          <w:lang w:eastAsia="en-GB"/>
        </w:rPr>
      </w:pPr>
    </w:p>
    <w:p w14:paraId="6B63442D" w14:textId="368D3A2D" w:rsidR="003C6847" w:rsidRPr="0016235B" w:rsidRDefault="00360911" w:rsidP="005722F2">
      <w:pPr>
        <w:pStyle w:val="Heading2"/>
        <w:numPr>
          <w:ilvl w:val="1"/>
          <w:numId w:val="25"/>
        </w:numPr>
        <w:rPr>
          <w:rFonts w:ascii="Candara" w:hAnsi="Candara"/>
          <w:b/>
          <w:sz w:val="28"/>
          <w:szCs w:val="28"/>
        </w:rPr>
      </w:pPr>
      <w:bookmarkStart w:id="44" w:name="_Toc11494057"/>
      <w:r w:rsidRPr="0016235B">
        <w:rPr>
          <w:rFonts w:ascii="Candara" w:hAnsi="Candara"/>
          <w:b/>
          <w:sz w:val="28"/>
          <w:szCs w:val="28"/>
        </w:rPr>
        <w:t>Essential NCD medicines</w:t>
      </w:r>
      <w:bookmarkEnd w:id="44"/>
    </w:p>
    <w:p w14:paraId="5A3B5C98" w14:textId="77777777" w:rsidR="003C6847" w:rsidRPr="0016235B" w:rsidRDefault="003C6847" w:rsidP="00FE60D8">
      <w:pPr>
        <w:spacing w:after="0" w:line="240" w:lineRule="auto"/>
        <w:rPr>
          <w:rFonts w:ascii="Candara" w:eastAsia="Times New Roman" w:hAnsi="Candara" w:cs="Times New Roman"/>
          <w:bCs/>
          <w:lang w:eastAsia="en-GB"/>
        </w:rPr>
      </w:pPr>
    </w:p>
    <w:p w14:paraId="0BFF2F6C" w14:textId="6FD4A223" w:rsidR="00BC4FD8" w:rsidRPr="0016235B" w:rsidRDefault="008B3482" w:rsidP="004527D9">
      <w:pPr>
        <w:spacing w:after="0" w:line="240" w:lineRule="auto"/>
        <w:jc w:val="both"/>
        <w:rPr>
          <w:rFonts w:ascii="Candara" w:eastAsia="Times New Roman" w:hAnsi="Candara" w:cs="Times New Roman"/>
          <w:bCs/>
          <w:sz w:val="24"/>
          <w:szCs w:val="24"/>
          <w:lang w:eastAsia="en-GB"/>
        </w:rPr>
      </w:pPr>
      <w:r w:rsidRPr="0016235B">
        <w:rPr>
          <w:rFonts w:ascii="Candara" w:eastAsia="Times New Roman" w:hAnsi="Candara" w:cs="Times New Roman"/>
          <w:bCs/>
          <w:sz w:val="24"/>
          <w:szCs w:val="24"/>
          <w:lang w:eastAsia="en-GB"/>
        </w:rPr>
        <w:t>Twenty-three</w:t>
      </w:r>
      <w:r w:rsidR="004527D9" w:rsidRPr="0016235B">
        <w:rPr>
          <w:rFonts w:ascii="Candara" w:eastAsia="Times New Roman" w:hAnsi="Candara" w:cs="Times New Roman"/>
          <w:bCs/>
          <w:sz w:val="24"/>
          <w:szCs w:val="24"/>
          <w:lang w:eastAsia="en-GB"/>
        </w:rPr>
        <w:t xml:space="preserve"> tracer essential medicines for non-communicable diseases were assessed.</w:t>
      </w:r>
    </w:p>
    <w:p w14:paraId="384A412B" w14:textId="77777777" w:rsidR="003C6847" w:rsidRPr="0016235B" w:rsidRDefault="003C6847" w:rsidP="00FE60D8">
      <w:pPr>
        <w:spacing w:after="0" w:line="240" w:lineRule="auto"/>
        <w:rPr>
          <w:rFonts w:ascii="Candara" w:eastAsia="Times New Roman" w:hAnsi="Candara" w:cs="Times New Roman"/>
          <w:bCs/>
          <w:lang w:eastAsia="en-GB"/>
        </w:rPr>
      </w:pPr>
    </w:p>
    <w:p w14:paraId="62FDA996" w14:textId="77777777" w:rsidR="00360911" w:rsidRPr="0016235B" w:rsidRDefault="00360911" w:rsidP="00FE60D8">
      <w:pPr>
        <w:spacing w:after="0" w:line="240" w:lineRule="auto"/>
        <w:rPr>
          <w:rFonts w:ascii="Candara" w:eastAsia="Times New Roman" w:hAnsi="Candara" w:cs="Times New Roman"/>
          <w:bCs/>
          <w:lang w:eastAsia="en-GB"/>
        </w:rPr>
      </w:pPr>
    </w:p>
    <w:p w14:paraId="385FC625" w14:textId="77777777" w:rsidR="00360911" w:rsidRPr="0016235B" w:rsidRDefault="00360911" w:rsidP="00FE60D8">
      <w:pPr>
        <w:spacing w:after="0" w:line="240" w:lineRule="auto"/>
        <w:rPr>
          <w:rFonts w:ascii="Candara" w:eastAsia="Times New Roman" w:hAnsi="Candara" w:cs="Times New Roman"/>
          <w:bCs/>
          <w:lang w:eastAsia="en-GB"/>
        </w:rPr>
      </w:pPr>
    </w:p>
    <w:p w14:paraId="4093B81C" w14:textId="29DED4EF" w:rsidR="00FE60D8" w:rsidRPr="0016235B" w:rsidRDefault="00FE60D8" w:rsidP="00FE60D8">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Mean availability of essential NCD medicines (N=16</w:t>
      </w:r>
      <w:r w:rsidR="00360911"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7E0AEB93" w14:textId="2567592D" w:rsidR="00FE60D8" w:rsidRPr="0016235B" w:rsidRDefault="00360911" w:rsidP="00FE60D8">
      <w:pPr>
        <w:rPr>
          <w:rFonts w:ascii="Candara" w:hAnsi="Candara" w:cs="Times New Roman"/>
          <w:b/>
        </w:rPr>
      </w:pPr>
      <w:r w:rsidRPr="0016235B">
        <w:rPr>
          <w:rFonts w:ascii="Candara" w:hAnsi="Candara"/>
          <w:noProof/>
        </w:rPr>
        <w:drawing>
          <wp:inline distT="0" distB="0" distL="0" distR="0" wp14:anchorId="08D4D4C4" wp14:editId="0C47C25E">
            <wp:extent cx="6115050" cy="4838700"/>
            <wp:effectExtent l="0" t="0" r="0" b="0"/>
            <wp:docPr id="141" name="Chart 141"/>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05BC9144" w14:textId="43112649" w:rsidR="00FE60D8" w:rsidRPr="0016235B" w:rsidRDefault="00FE60D8" w:rsidP="00FE60D8">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Mean availability of NCD medicines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(N=16</w:t>
      </w:r>
      <w:r w:rsidR="00360911"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2E1D8C03" w14:textId="4D0519B5" w:rsidR="00FE60D8" w:rsidRPr="0016235B" w:rsidRDefault="00360911" w:rsidP="00FE60D8">
      <w:pPr>
        <w:rPr>
          <w:rFonts w:ascii="Candara" w:hAnsi="Candara" w:cs="Times New Roman"/>
          <w:b/>
        </w:rPr>
      </w:pPr>
      <w:r w:rsidRPr="0016235B">
        <w:rPr>
          <w:rFonts w:ascii="Candara" w:hAnsi="Candara"/>
          <w:noProof/>
        </w:rPr>
        <w:drawing>
          <wp:inline distT="0" distB="0" distL="0" distR="0" wp14:anchorId="57B81A0E" wp14:editId="3E51CE01">
            <wp:extent cx="5895975" cy="4019550"/>
            <wp:effectExtent l="0" t="0" r="9525" b="0"/>
            <wp:docPr id="142" name="Chart 142"/>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3E910C4F" w14:textId="77777777" w:rsidR="00FE60D8" w:rsidRPr="0016235B" w:rsidRDefault="00FE60D8" w:rsidP="00FE60D8">
      <w:pPr>
        <w:spacing w:after="0" w:line="240" w:lineRule="auto"/>
        <w:rPr>
          <w:rFonts w:ascii="Candara" w:eastAsia="Times New Roman" w:hAnsi="Candara" w:cs="Times New Roman"/>
          <w:bCs/>
          <w:lang w:eastAsia="en-GB"/>
        </w:rPr>
      </w:pPr>
    </w:p>
    <w:p w14:paraId="5D91F589" w14:textId="77777777" w:rsidR="00FE60D8" w:rsidRPr="0016235B" w:rsidRDefault="00FE60D8" w:rsidP="00FE60D8">
      <w:pPr>
        <w:spacing w:after="0" w:line="240" w:lineRule="auto"/>
        <w:rPr>
          <w:rFonts w:ascii="Candara" w:eastAsia="Times New Roman" w:hAnsi="Candara" w:cs="Times New Roman"/>
          <w:bCs/>
          <w:lang w:eastAsia="en-GB"/>
        </w:rPr>
      </w:pPr>
    </w:p>
    <w:tbl>
      <w:tblPr>
        <w:tblStyle w:val="TableGrid"/>
        <w:tblW w:w="9409" w:type="dxa"/>
        <w:tblLook w:val="04A0" w:firstRow="1" w:lastRow="0" w:firstColumn="1" w:lastColumn="0" w:noHBand="0" w:noVBand="1"/>
      </w:tblPr>
      <w:tblGrid>
        <w:gridCol w:w="9409"/>
      </w:tblGrid>
      <w:tr w:rsidR="00360911" w:rsidRPr="0016235B" w14:paraId="6F87E505" w14:textId="77777777" w:rsidTr="00397C88">
        <w:trPr>
          <w:trHeight w:val="262"/>
        </w:trPr>
        <w:tc>
          <w:tcPr>
            <w:tcW w:w="9409" w:type="dxa"/>
          </w:tcPr>
          <w:p w14:paraId="079B653F" w14:textId="77777777" w:rsidR="00360911" w:rsidRPr="0016235B" w:rsidRDefault="00360911" w:rsidP="00397C88">
            <w:pPr>
              <w:rPr>
                <w:rFonts w:ascii="Candara" w:hAnsi="Candara"/>
                <w:b/>
              </w:rPr>
            </w:pPr>
            <w:r w:rsidRPr="0016235B">
              <w:rPr>
                <w:rFonts w:ascii="Candara" w:hAnsi="Candara"/>
                <w:b/>
              </w:rPr>
              <w:t>Key findings</w:t>
            </w:r>
          </w:p>
        </w:tc>
      </w:tr>
      <w:tr w:rsidR="00360911" w:rsidRPr="0016235B" w14:paraId="0B7C68AB" w14:textId="77777777" w:rsidTr="00397C88">
        <w:trPr>
          <w:trHeight w:val="2663"/>
        </w:trPr>
        <w:tc>
          <w:tcPr>
            <w:tcW w:w="9409" w:type="dxa"/>
          </w:tcPr>
          <w:p w14:paraId="037EC648" w14:textId="716E67F1" w:rsidR="004527D9" w:rsidRPr="0016235B" w:rsidRDefault="004527D9" w:rsidP="004527D9">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On average, facilities had 6 of the 23 (28%) NCD medicines assessed </w:t>
            </w:r>
          </w:p>
          <w:p w14:paraId="31895827" w14:textId="26BC5AC0" w:rsidR="004527D9" w:rsidRPr="0016235B" w:rsidRDefault="004527D9" w:rsidP="004527D9">
            <w:pPr>
              <w:pStyle w:val="ListParagraph"/>
              <w:numPr>
                <w:ilvl w:val="0"/>
                <w:numId w:val="1"/>
              </w:numPr>
              <w:spacing w:after="120" w:line="264" w:lineRule="auto"/>
              <w:rPr>
                <w:rFonts w:ascii="Candara" w:hAnsi="Candara" w:cs="Times New Roman"/>
              </w:rPr>
            </w:pPr>
            <w:r w:rsidRPr="0016235B">
              <w:rPr>
                <w:rFonts w:ascii="Candara" w:hAnsi="Candara" w:cs="Times New Roman"/>
              </w:rPr>
              <w:t>Only 1% of these facilities had all the 23 tracer NCD medicines</w:t>
            </w:r>
          </w:p>
          <w:p w14:paraId="7D079925" w14:textId="634813E6" w:rsidR="004527D9" w:rsidRPr="0016235B" w:rsidRDefault="004527D9" w:rsidP="00E8303F">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The most available NCD medicine in facilities was </w:t>
            </w:r>
            <w:r w:rsidR="00E8303F" w:rsidRPr="0016235B">
              <w:rPr>
                <w:rFonts w:ascii="Candara" w:hAnsi="Candara" w:cs="Times New Roman"/>
              </w:rPr>
              <w:t>P</w:t>
            </w:r>
            <w:r w:rsidRPr="0016235B">
              <w:rPr>
                <w:rFonts w:ascii="Candara" w:hAnsi="Candara" w:cs="Times New Roman"/>
              </w:rPr>
              <w:t xml:space="preserve">aracetamol </w:t>
            </w:r>
            <w:r w:rsidR="00E8303F" w:rsidRPr="0016235B">
              <w:rPr>
                <w:rFonts w:ascii="Candara" w:hAnsi="Candara" w:cs="Times New Roman"/>
              </w:rPr>
              <w:t>(</w:t>
            </w:r>
            <w:r w:rsidRPr="0016235B">
              <w:rPr>
                <w:rFonts w:ascii="Candara" w:hAnsi="Candara" w:cs="Times New Roman"/>
              </w:rPr>
              <w:t>64%</w:t>
            </w:r>
            <w:r w:rsidR="00E8303F" w:rsidRPr="0016235B">
              <w:rPr>
                <w:rFonts w:ascii="Candara" w:hAnsi="Candara" w:cs="Times New Roman"/>
              </w:rPr>
              <w:t>)</w:t>
            </w:r>
            <w:r w:rsidRPr="0016235B">
              <w:rPr>
                <w:rFonts w:ascii="Candara" w:hAnsi="Candara" w:cs="Times New Roman"/>
              </w:rPr>
              <w:t xml:space="preserve"> while </w:t>
            </w:r>
            <w:r w:rsidR="00E8303F" w:rsidRPr="0016235B">
              <w:rPr>
                <w:rFonts w:ascii="Candara" w:hAnsi="Candara" w:cs="Times New Roman"/>
              </w:rPr>
              <w:t>Gliclazide</w:t>
            </w:r>
            <w:r w:rsidRPr="0016235B">
              <w:rPr>
                <w:rFonts w:ascii="Candara" w:hAnsi="Candara" w:cs="Times New Roman"/>
              </w:rPr>
              <w:t xml:space="preserve"> tablets (8%)</w:t>
            </w:r>
            <w:r w:rsidR="00040C4F" w:rsidRPr="0016235B">
              <w:rPr>
                <w:rFonts w:ascii="Candara" w:hAnsi="Candara" w:cs="Times New Roman"/>
              </w:rPr>
              <w:t xml:space="preserve"> </w:t>
            </w:r>
            <w:r w:rsidRPr="0016235B">
              <w:rPr>
                <w:rFonts w:ascii="Candara" w:hAnsi="Candara" w:cs="Times New Roman"/>
              </w:rPr>
              <w:t xml:space="preserve">was the least available </w:t>
            </w:r>
          </w:p>
          <w:p w14:paraId="278B1D80" w14:textId="059985A0" w:rsidR="004527D9" w:rsidRPr="0016235B" w:rsidRDefault="004527D9" w:rsidP="004527D9">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Essential NCD medicines were most available in </w:t>
            </w:r>
            <w:r w:rsidR="00040C4F" w:rsidRPr="0016235B">
              <w:rPr>
                <w:rFonts w:ascii="Candara" w:hAnsi="Candara" w:cs="Times New Roman"/>
              </w:rPr>
              <w:t>G</w:t>
            </w:r>
            <w:r w:rsidRPr="0016235B">
              <w:rPr>
                <w:rFonts w:ascii="Candara" w:hAnsi="Candara" w:cs="Times New Roman"/>
              </w:rPr>
              <w:t>eneral hospitals at 60%</w:t>
            </w:r>
          </w:p>
          <w:p w14:paraId="3B381445" w14:textId="711FF728" w:rsidR="00F953A7" w:rsidRPr="0016235B" w:rsidRDefault="00F953A7" w:rsidP="004527D9">
            <w:pPr>
              <w:pStyle w:val="ListParagraph"/>
              <w:numPr>
                <w:ilvl w:val="0"/>
                <w:numId w:val="1"/>
              </w:numPr>
              <w:spacing w:after="120" w:line="264" w:lineRule="auto"/>
              <w:rPr>
                <w:rFonts w:ascii="Candara" w:hAnsi="Candara" w:cs="Times New Roman"/>
              </w:rPr>
            </w:pPr>
            <w:r w:rsidRPr="0016235B">
              <w:rPr>
                <w:rFonts w:ascii="Candara" w:hAnsi="Candara" w:cs="Times New Roman"/>
              </w:rPr>
              <w:t>36% of P</w:t>
            </w:r>
            <w:r w:rsidR="004527D9" w:rsidRPr="0016235B">
              <w:rPr>
                <w:rFonts w:ascii="Candara" w:hAnsi="Candara" w:cs="Times New Roman"/>
              </w:rPr>
              <w:t xml:space="preserve">rivate facilities had </w:t>
            </w:r>
            <w:r w:rsidRPr="0016235B">
              <w:rPr>
                <w:rFonts w:ascii="Candara" w:hAnsi="Candara" w:cs="Times New Roman"/>
              </w:rPr>
              <w:t>NCD medicines as compared to 13% of Public facilities</w:t>
            </w:r>
          </w:p>
          <w:p w14:paraId="59780615" w14:textId="55E6725F" w:rsidR="00F953A7" w:rsidRPr="0016235B" w:rsidRDefault="00F953A7" w:rsidP="004527D9">
            <w:pPr>
              <w:pStyle w:val="ListParagraph"/>
              <w:numPr>
                <w:ilvl w:val="0"/>
                <w:numId w:val="1"/>
              </w:numPr>
              <w:spacing w:after="120" w:line="264" w:lineRule="auto"/>
              <w:rPr>
                <w:rFonts w:ascii="Candara" w:hAnsi="Candara" w:cs="Times New Roman"/>
              </w:rPr>
            </w:pPr>
            <w:r w:rsidRPr="0016235B">
              <w:rPr>
                <w:rFonts w:ascii="Candara" w:hAnsi="Candara" w:cs="Times New Roman"/>
              </w:rPr>
              <w:t xml:space="preserve">NCD medicines were </w:t>
            </w:r>
            <w:r w:rsidR="004527D9" w:rsidRPr="0016235B">
              <w:rPr>
                <w:rFonts w:ascii="Candara" w:hAnsi="Candara" w:cs="Times New Roman"/>
              </w:rPr>
              <w:t xml:space="preserve">more available in urban </w:t>
            </w:r>
            <w:r w:rsidRPr="0016235B">
              <w:rPr>
                <w:rFonts w:ascii="Candara" w:hAnsi="Candara" w:cs="Times New Roman"/>
              </w:rPr>
              <w:t xml:space="preserve">(35%) than rural (18%) facilities </w:t>
            </w:r>
          </w:p>
          <w:p w14:paraId="38E02F1E" w14:textId="13DFC890" w:rsidR="00360911" w:rsidRPr="0016235B" w:rsidRDefault="004527D9" w:rsidP="001151D3">
            <w:pPr>
              <w:pStyle w:val="ListParagraph"/>
              <w:numPr>
                <w:ilvl w:val="0"/>
                <w:numId w:val="1"/>
              </w:numPr>
              <w:spacing w:after="120" w:line="264" w:lineRule="auto"/>
              <w:rPr>
                <w:rFonts w:ascii="Candara" w:hAnsi="Candara"/>
              </w:rPr>
            </w:pPr>
            <w:r w:rsidRPr="0016235B">
              <w:rPr>
                <w:rFonts w:ascii="Candara" w:hAnsi="Candara" w:cs="Times New Roman"/>
              </w:rPr>
              <w:t xml:space="preserve">Kampala had the highest availability at 43% while least </w:t>
            </w:r>
            <w:r w:rsidR="00F953A7" w:rsidRPr="0016235B">
              <w:rPr>
                <w:rFonts w:ascii="Candara" w:hAnsi="Candara" w:cs="Times New Roman"/>
              </w:rPr>
              <w:t xml:space="preserve">was </w:t>
            </w:r>
            <w:r w:rsidRPr="0016235B">
              <w:rPr>
                <w:rFonts w:ascii="Candara" w:hAnsi="Candara" w:cs="Times New Roman"/>
              </w:rPr>
              <w:t>Karamoja at 13%</w:t>
            </w:r>
            <w:r w:rsidR="00C067C5" w:rsidRPr="0016235B">
              <w:rPr>
                <w:rFonts w:ascii="Candara" w:hAnsi="Candara" w:cs="Times New Roman"/>
              </w:rPr>
              <w:t xml:space="preserve"> of facilities</w:t>
            </w:r>
          </w:p>
        </w:tc>
      </w:tr>
    </w:tbl>
    <w:p w14:paraId="43856382" w14:textId="77777777" w:rsidR="00FE60D8" w:rsidRPr="0016235B" w:rsidRDefault="00FE60D8" w:rsidP="00FE60D8">
      <w:pPr>
        <w:spacing w:after="0" w:line="240" w:lineRule="auto"/>
        <w:rPr>
          <w:rFonts w:ascii="Candara" w:eastAsia="Times New Roman" w:hAnsi="Candara" w:cs="Times New Roman"/>
          <w:bCs/>
          <w:lang w:eastAsia="en-GB"/>
        </w:rPr>
      </w:pPr>
    </w:p>
    <w:p w14:paraId="6F474ACA" w14:textId="77777777" w:rsidR="00FE60D8" w:rsidRPr="0016235B" w:rsidRDefault="00FE60D8" w:rsidP="00FE60D8">
      <w:pPr>
        <w:spacing w:after="0" w:line="240" w:lineRule="auto"/>
        <w:rPr>
          <w:rFonts w:ascii="Candara" w:eastAsia="Times New Roman" w:hAnsi="Candara" w:cs="Times New Roman"/>
          <w:bCs/>
          <w:lang w:eastAsia="en-GB"/>
        </w:rPr>
      </w:pPr>
    </w:p>
    <w:p w14:paraId="1D0D1C0C" w14:textId="77777777" w:rsidR="00FE60D8" w:rsidRPr="0016235B" w:rsidRDefault="00FE60D8" w:rsidP="00FE60D8">
      <w:pPr>
        <w:spacing w:after="0" w:line="240" w:lineRule="auto"/>
        <w:rPr>
          <w:rFonts w:ascii="Candara" w:eastAsia="Times New Roman" w:hAnsi="Candara" w:cs="Times New Roman"/>
          <w:bCs/>
          <w:lang w:eastAsia="en-GB"/>
        </w:rPr>
      </w:pPr>
    </w:p>
    <w:p w14:paraId="1AF9CB28" w14:textId="5CED0229" w:rsidR="00FE60D8" w:rsidRPr="0016235B" w:rsidRDefault="00360911" w:rsidP="005722F2">
      <w:pPr>
        <w:pStyle w:val="Heading2"/>
        <w:numPr>
          <w:ilvl w:val="1"/>
          <w:numId w:val="25"/>
        </w:numPr>
        <w:rPr>
          <w:rFonts w:ascii="Candara" w:hAnsi="Candara"/>
          <w:b/>
          <w:sz w:val="28"/>
          <w:szCs w:val="28"/>
        </w:rPr>
      </w:pPr>
      <w:bookmarkStart w:id="45" w:name="_Toc11494058"/>
      <w:r w:rsidRPr="0016235B">
        <w:rPr>
          <w:rFonts w:ascii="Candara" w:hAnsi="Candara"/>
          <w:b/>
          <w:sz w:val="28"/>
          <w:szCs w:val="28"/>
        </w:rPr>
        <w:t>Essential reproductive health medicines</w:t>
      </w:r>
      <w:bookmarkEnd w:id="45"/>
    </w:p>
    <w:p w14:paraId="4E61A510" w14:textId="77777777" w:rsidR="00360911" w:rsidRPr="0016235B" w:rsidRDefault="00360911" w:rsidP="00FE60D8">
      <w:pPr>
        <w:spacing w:after="0" w:line="240" w:lineRule="auto"/>
        <w:rPr>
          <w:rFonts w:ascii="Candara" w:eastAsia="Times New Roman" w:hAnsi="Candara" w:cs="Times New Roman"/>
          <w:bCs/>
          <w:lang w:eastAsia="en-GB"/>
        </w:rPr>
      </w:pPr>
    </w:p>
    <w:p w14:paraId="13063094" w14:textId="77777777" w:rsidR="00360911" w:rsidRPr="0016235B" w:rsidRDefault="00360911" w:rsidP="00FE60D8">
      <w:pPr>
        <w:spacing w:after="0" w:line="240" w:lineRule="auto"/>
        <w:rPr>
          <w:rFonts w:ascii="Candara" w:eastAsia="Times New Roman" w:hAnsi="Candara" w:cs="Times New Roman"/>
          <w:bCs/>
          <w:lang w:eastAsia="en-GB"/>
        </w:rPr>
      </w:pPr>
    </w:p>
    <w:p w14:paraId="2A5B4F55" w14:textId="05E8E56C" w:rsidR="00BC4FD8" w:rsidRPr="0016235B" w:rsidRDefault="00C067C5" w:rsidP="00C067C5">
      <w:pPr>
        <w:spacing w:after="0" w:line="240" w:lineRule="auto"/>
        <w:jc w:val="both"/>
        <w:rPr>
          <w:rFonts w:ascii="Candara" w:eastAsia="Times New Roman" w:hAnsi="Candara" w:cs="Times New Roman"/>
          <w:bCs/>
          <w:sz w:val="24"/>
          <w:szCs w:val="24"/>
          <w:lang w:eastAsia="en-GB"/>
        </w:rPr>
      </w:pPr>
      <w:r w:rsidRPr="0016235B">
        <w:rPr>
          <w:rFonts w:ascii="Candara" w:eastAsia="Times New Roman" w:hAnsi="Candara" w:cs="Times New Roman"/>
          <w:bCs/>
          <w:sz w:val="24"/>
          <w:szCs w:val="24"/>
          <w:lang w:eastAsia="en-GB"/>
        </w:rPr>
        <w:t>The availability of essential reproductive health medicines in health facilities was assessed through the presence of 9 medicines and commodities.</w:t>
      </w:r>
    </w:p>
    <w:p w14:paraId="6F826877" w14:textId="77777777" w:rsidR="00360911" w:rsidRPr="0016235B" w:rsidRDefault="00360911" w:rsidP="00FE60D8">
      <w:pPr>
        <w:spacing w:after="0" w:line="240" w:lineRule="auto"/>
        <w:rPr>
          <w:rFonts w:ascii="Candara" w:eastAsia="Times New Roman" w:hAnsi="Candara" w:cs="Times New Roman"/>
          <w:bCs/>
          <w:lang w:eastAsia="en-GB"/>
        </w:rPr>
      </w:pPr>
    </w:p>
    <w:p w14:paraId="78EEA11A" w14:textId="77777777" w:rsidR="00360911" w:rsidRPr="0016235B" w:rsidRDefault="00360911" w:rsidP="00FE60D8">
      <w:pPr>
        <w:spacing w:after="0" w:line="240" w:lineRule="auto"/>
        <w:rPr>
          <w:rFonts w:ascii="Candara" w:eastAsia="Times New Roman" w:hAnsi="Candara" w:cs="Times New Roman"/>
          <w:bCs/>
          <w:lang w:eastAsia="en-GB"/>
        </w:rPr>
      </w:pPr>
    </w:p>
    <w:p w14:paraId="2FB460BF" w14:textId="77777777" w:rsidR="00360911" w:rsidRPr="0016235B" w:rsidRDefault="00360911">
      <w:pPr>
        <w:rPr>
          <w:rFonts w:ascii="Candara" w:eastAsia="Times New Roman" w:hAnsi="Candara" w:cs="Times New Roman"/>
          <w:bCs/>
          <w:lang w:eastAsia="en-GB"/>
        </w:rPr>
      </w:pPr>
      <w:r w:rsidRPr="0016235B">
        <w:rPr>
          <w:rFonts w:ascii="Candara" w:eastAsia="Times New Roman" w:hAnsi="Candara" w:cs="Times New Roman"/>
          <w:bCs/>
          <w:lang w:eastAsia="en-GB"/>
        </w:rPr>
        <w:br w:type="page"/>
      </w:r>
    </w:p>
    <w:p w14:paraId="7BF38C5A" w14:textId="6ACB6E63" w:rsidR="00FE60D8" w:rsidRPr="0016235B" w:rsidRDefault="00FE60D8" w:rsidP="00FE60D8">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Mean availability of essential reproductive health medicines (N=16</w:t>
      </w:r>
      <w:r w:rsidR="00360911"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495C5C32" w14:textId="2EE00B57" w:rsidR="00FE60D8" w:rsidRPr="0016235B" w:rsidRDefault="00360911" w:rsidP="00FE60D8">
      <w:pPr>
        <w:rPr>
          <w:rFonts w:ascii="Candara" w:hAnsi="Candara" w:cs="Times New Roman"/>
          <w:b/>
        </w:rPr>
      </w:pPr>
      <w:r w:rsidRPr="0016235B">
        <w:rPr>
          <w:rFonts w:ascii="Candara" w:hAnsi="Candara"/>
          <w:noProof/>
        </w:rPr>
        <w:drawing>
          <wp:inline distT="0" distB="0" distL="0" distR="0" wp14:anchorId="641FD4A8" wp14:editId="0A4776D6">
            <wp:extent cx="5924550" cy="4048125"/>
            <wp:effectExtent l="0" t="0" r="0" b="9525"/>
            <wp:docPr id="143" name="Chart 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52053351" w14:textId="77777777" w:rsidR="00360911" w:rsidRPr="0016235B" w:rsidRDefault="00360911" w:rsidP="00FE60D8">
      <w:pPr>
        <w:spacing w:after="0" w:line="240" w:lineRule="auto"/>
        <w:rPr>
          <w:rFonts w:ascii="Candara" w:eastAsia="Times New Roman" w:hAnsi="Candara" w:cs="Times New Roman"/>
          <w:bCs/>
          <w:lang w:eastAsia="en-GB"/>
        </w:rPr>
      </w:pPr>
    </w:p>
    <w:p w14:paraId="7749BB9C" w14:textId="5E562335" w:rsidR="00FE60D8" w:rsidRPr="0016235B" w:rsidRDefault="00FE60D8" w:rsidP="00FE60D8">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Mean availability of essential reproductive health medicines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(N=16</w:t>
      </w:r>
      <w:r w:rsidR="00360911"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62AF3A85" w14:textId="1C575DA6" w:rsidR="00FE60D8" w:rsidRPr="0016235B" w:rsidRDefault="00360911" w:rsidP="00FE60D8">
      <w:pPr>
        <w:rPr>
          <w:rFonts w:ascii="Candara" w:hAnsi="Candara" w:cs="Times New Roman"/>
          <w:b/>
        </w:rPr>
      </w:pPr>
      <w:r w:rsidRPr="0016235B">
        <w:rPr>
          <w:rFonts w:ascii="Candara" w:hAnsi="Candara"/>
          <w:noProof/>
        </w:rPr>
        <w:drawing>
          <wp:inline distT="0" distB="0" distL="0" distR="0" wp14:anchorId="5EB06253" wp14:editId="3F7E85EB">
            <wp:extent cx="5915025" cy="4276725"/>
            <wp:effectExtent l="0" t="0" r="9525" b="9525"/>
            <wp:docPr id="144" name="Chart 144"/>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7764DB0D" w14:textId="77777777" w:rsidR="00FE60D8" w:rsidRPr="0016235B" w:rsidRDefault="00FE60D8" w:rsidP="00FE60D8">
      <w:pPr>
        <w:spacing w:after="0" w:line="240" w:lineRule="auto"/>
        <w:rPr>
          <w:rFonts w:ascii="Candara" w:eastAsia="Times New Roman" w:hAnsi="Candara" w:cs="Times New Roman"/>
          <w:b/>
          <w:bCs/>
          <w:lang w:eastAsia="en-GB"/>
        </w:rPr>
      </w:pPr>
    </w:p>
    <w:p w14:paraId="733480A6" w14:textId="77777777" w:rsidR="00FE60D8" w:rsidRPr="0016235B" w:rsidRDefault="00FE60D8" w:rsidP="00FE60D8">
      <w:pPr>
        <w:spacing w:after="0" w:line="240" w:lineRule="auto"/>
        <w:rPr>
          <w:rFonts w:ascii="Candara" w:eastAsia="Times New Roman" w:hAnsi="Candara" w:cs="Times New Roman"/>
          <w:b/>
          <w:bCs/>
          <w:lang w:eastAsia="en-GB"/>
        </w:rPr>
      </w:pPr>
    </w:p>
    <w:tbl>
      <w:tblPr>
        <w:tblStyle w:val="TableGrid"/>
        <w:tblW w:w="9409" w:type="dxa"/>
        <w:tblLook w:val="04A0" w:firstRow="1" w:lastRow="0" w:firstColumn="1" w:lastColumn="0" w:noHBand="0" w:noVBand="1"/>
      </w:tblPr>
      <w:tblGrid>
        <w:gridCol w:w="9409"/>
      </w:tblGrid>
      <w:tr w:rsidR="00F2505C" w:rsidRPr="0016235B" w14:paraId="70BFB818" w14:textId="77777777" w:rsidTr="00397C88">
        <w:trPr>
          <w:trHeight w:val="262"/>
        </w:trPr>
        <w:tc>
          <w:tcPr>
            <w:tcW w:w="9409" w:type="dxa"/>
          </w:tcPr>
          <w:p w14:paraId="631D2921" w14:textId="77777777" w:rsidR="00F2505C" w:rsidRPr="0016235B" w:rsidRDefault="00F2505C" w:rsidP="00397C88">
            <w:pPr>
              <w:rPr>
                <w:rFonts w:ascii="Candara" w:hAnsi="Candara"/>
                <w:b/>
              </w:rPr>
            </w:pPr>
            <w:r w:rsidRPr="0016235B">
              <w:rPr>
                <w:rFonts w:ascii="Candara" w:hAnsi="Candara"/>
                <w:b/>
              </w:rPr>
              <w:t>Key findings</w:t>
            </w:r>
          </w:p>
        </w:tc>
      </w:tr>
      <w:tr w:rsidR="00F2505C" w:rsidRPr="0016235B" w14:paraId="3ABA9348" w14:textId="77777777" w:rsidTr="00397C88">
        <w:trPr>
          <w:trHeight w:val="2663"/>
        </w:trPr>
        <w:tc>
          <w:tcPr>
            <w:tcW w:w="9409" w:type="dxa"/>
          </w:tcPr>
          <w:p w14:paraId="42AD0220" w14:textId="2F174861" w:rsidR="000B0627" w:rsidRPr="0016235B" w:rsidRDefault="000B0627" w:rsidP="00F720EC">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In facilities which stocked r</w:t>
            </w:r>
            <w:r w:rsidR="00C067C5" w:rsidRPr="0016235B">
              <w:rPr>
                <w:rFonts w:ascii="Candara" w:hAnsi="Candara" w:cs="Times New Roman"/>
              </w:rPr>
              <w:t>eproductive health medicines and commodities</w:t>
            </w:r>
            <w:r w:rsidRPr="0016235B">
              <w:rPr>
                <w:rFonts w:ascii="Candara" w:hAnsi="Candara" w:cs="Times New Roman"/>
              </w:rPr>
              <w:t>,</w:t>
            </w:r>
            <w:r w:rsidR="00C067C5" w:rsidRPr="0016235B">
              <w:rPr>
                <w:rFonts w:ascii="Candara" w:hAnsi="Candara" w:cs="Times New Roman"/>
              </w:rPr>
              <w:t xml:space="preserve"> </w:t>
            </w:r>
            <w:r w:rsidRPr="0016235B">
              <w:rPr>
                <w:rFonts w:ascii="Candara" w:hAnsi="Candara" w:cs="Times New Roman"/>
              </w:rPr>
              <w:t xml:space="preserve">an average of </w:t>
            </w:r>
            <w:r w:rsidR="00C067C5" w:rsidRPr="0016235B">
              <w:rPr>
                <w:rFonts w:ascii="Candara" w:hAnsi="Candara" w:cs="Times New Roman"/>
              </w:rPr>
              <w:t xml:space="preserve">40% </w:t>
            </w:r>
            <w:r w:rsidRPr="0016235B">
              <w:rPr>
                <w:rFonts w:ascii="Candara" w:hAnsi="Candara" w:cs="Times New Roman"/>
              </w:rPr>
              <w:t>(</w:t>
            </w:r>
            <w:r w:rsidR="00C067C5" w:rsidRPr="0016235B">
              <w:rPr>
                <w:rFonts w:ascii="Candara" w:hAnsi="Candara" w:cs="Times New Roman"/>
              </w:rPr>
              <w:t xml:space="preserve">4 of the </w:t>
            </w:r>
            <w:r w:rsidRPr="0016235B">
              <w:rPr>
                <w:rFonts w:ascii="Candara" w:hAnsi="Candara" w:cs="Times New Roman"/>
              </w:rPr>
              <w:t xml:space="preserve">9) </w:t>
            </w:r>
            <w:r w:rsidR="00C067C5" w:rsidRPr="0016235B">
              <w:rPr>
                <w:rFonts w:ascii="Candara" w:hAnsi="Candara" w:cs="Times New Roman"/>
              </w:rPr>
              <w:t>medicines and commodities were available</w:t>
            </w:r>
            <w:r w:rsidRPr="0016235B">
              <w:rPr>
                <w:rFonts w:ascii="Candara" w:hAnsi="Candara" w:cs="Times New Roman"/>
              </w:rPr>
              <w:t xml:space="preserve">. </w:t>
            </w:r>
          </w:p>
          <w:p w14:paraId="0D8E0C38" w14:textId="2B408349" w:rsidR="00C067C5" w:rsidRPr="0016235B" w:rsidRDefault="000B0627" w:rsidP="00F720EC">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5% of the </w:t>
            </w:r>
            <w:r w:rsidR="00C067C5" w:rsidRPr="0016235B">
              <w:rPr>
                <w:rFonts w:ascii="Candara" w:hAnsi="Candara" w:cs="Times New Roman"/>
              </w:rPr>
              <w:t xml:space="preserve">facilities had all the </w:t>
            </w:r>
            <w:r w:rsidRPr="0016235B">
              <w:rPr>
                <w:rFonts w:ascii="Candara" w:hAnsi="Candara" w:cs="Times New Roman"/>
              </w:rPr>
              <w:t>9 assessed essential reproductive health medicines and commodities</w:t>
            </w:r>
          </w:p>
          <w:p w14:paraId="1D7774B9" w14:textId="5B95A310" w:rsidR="00C067C5" w:rsidRPr="0016235B" w:rsidRDefault="00C067C5" w:rsidP="00F720EC">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The most available commodities in health facilities were </w:t>
            </w:r>
            <w:r w:rsidR="00F720EC" w:rsidRPr="0016235B">
              <w:rPr>
                <w:rFonts w:ascii="Candara" w:hAnsi="Candara" w:cs="Times New Roman"/>
              </w:rPr>
              <w:t xml:space="preserve">male </w:t>
            </w:r>
            <w:r w:rsidRPr="0016235B">
              <w:rPr>
                <w:rFonts w:ascii="Candara" w:hAnsi="Candara" w:cs="Times New Roman"/>
              </w:rPr>
              <w:t xml:space="preserve">condoms and combined progesterone estrogen oral contraceptive pills </w:t>
            </w:r>
            <w:r w:rsidR="00F720EC" w:rsidRPr="0016235B">
              <w:rPr>
                <w:rFonts w:ascii="Candara" w:hAnsi="Candara" w:cs="Times New Roman"/>
              </w:rPr>
              <w:t>in</w:t>
            </w:r>
            <w:r w:rsidRPr="0016235B">
              <w:rPr>
                <w:rFonts w:ascii="Candara" w:hAnsi="Candara" w:cs="Times New Roman"/>
              </w:rPr>
              <w:t xml:space="preserve"> 57%</w:t>
            </w:r>
            <w:r w:rsidR="00F720EC" w:rsidRPr="0016235B">
              <w:rPr>
                <w:rFonts w:ascii="Candara" w:hAnsi="Candara" w:cs="Times New Roman"/>
              </w:rPr>
              <w:t xml:space="preserve"> of the facilities,</w:t>
            </w:r>
            <w:r w:rsidRPr="0016235B">
              <w:rPr>
                <w:rFonts w:ascii="Candara" w:hAnsi="Candara" w:cs="Times New Roman"/>
              </w:rPr>
              <w:t xml:space="preserve"> while the least was the female condoms</w:t>
            </w:r>
            <w:r w:rsidR="00F720EC" w:rsidRPr="0016235B">
              <w:rPr>
                <w:rFonts w:ascii="Candara" w:hAnsi="Candara" w:cs="Times New Roman"/>
              </w:rPr>
              <w:t xml:space="preserve"> in</w:t>
            </w:r>
            <w:r w:rsidRPr="0016235B">
              <w:rPr>
                <w:rFonts w:ascii="Candara" w:hAnsi="Candara" w:cs="Times New Roman"/>
              </w:rPr>
              <w:t xml:space="preserve"> 26% </w:t>
            </w:r>
            <w:r w:rsidR="00F720EC" w:rsidRPr="0016235B">
              <w:rPr>
                <w:rFonts w:ascii="Candara" w:hAnsi="Candara" w:cs="Times New Roman"/>
              </w:rPr>
              <w:t>of</w:t>
            </w:r>
            <w:r w:rsidRPr="0016235B">
              <w:rPr>
                <w:rFonts w:ascii="Candara" w:hAnsi="Candara" w:cs="Times New Roman"/>
              </w:rPr>
              <w:t xml:space="preserve"> the facilities</w:t>
            </w:r>
          </w:p>
          <w:p w14:paraId="0AC58F6A" w14:textId="078B6FB7" w:rsidR="00C067C5" w:rsidRPr="0016235B" w:rsidRDefault="00F720EC" w:rsidP="00F720EC">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 xml:space="preserve">Essential Reproductive Health Medicines were more available in </w:t>
            </w:r>
            <w:r w:rsidR="00C067C5" w:rsidRPr="0016235B">
              <w:rPr>
                <w:rFonts w:ascii="Candara" w:hAnsi="Candara" w:cs="Times New Roman"/>
              </w:rPr>
              <w:t xml:space="preserve">Regional </w:t>
            </w:r>
            <w:r w:rsidRPr="0016235B">
              <w:rPr>
                <w:rFonts w:ascii="Candara" w:hAnsi="Candara" w:cs="Times New Roman"/>
              </w:rPr>
              <w:t>R</w:t>
            </w:r>
            <w:r w:rsidR="00C067C5" w:rsidRPr="0016235B">
              <w:rPr>
                <w:rFonts w:ascii="Candara" w:hAnsi="Candara" w:cs="Times New Roman"/>
              </w:rPr>
              <w:t xml:space="preserve">eferral hospitals </w:t>
            </w:r>
            <w:r w:rsidRPr="0016235B">
              <w:rPr>
                <w:rFonts w:ascii="Candara" w:hAnsi="Candara" w:cs="Times New Roman"/>
              </w:rPr>
              <w:t>than other levels of care</w:t>
            </w:r>
          </w:p>
          <w:p w14:paraId="581B7D72" w14:textId="7F589601" w:rsidR="00C067C5" w:rsidRPr="0016235B" w:rsidRDefault="00C067C5" w:rsidP="00F720EC">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HC</w:t>
            </w:r>
            <w:r w:rsidR="00F720EC" w:rsidRPr="0016235B">
              <w:rPr>
                <w:rFonts w:ascii="Candara" w:hAnsi="Candara" w:cs="Times New Roman"/>
              </w:rPr>
              <w:t xml:space="preserve"> </w:t>
            </w:r>
            <w:r w:rsidRPr="0016235B">
              <w:rPr>
                <w:rFonts w:ascii="Candara" w:hAnsi="Candara" w:cs="Times New Roman"/>
              </w:rPr>
              <w:t>IV</w:t>
            </w:r>
            <w:r w:rsidR="00F720EC" w:rsidRPr="0016235B">
              <w:rPr>
                <w:rFonts w:ascii="Candara" w:hAnsi="Candara" w:cs="Times New Roman"/>
              </w:rPr>
              <w:t>s (55%)</w:t>
            </w:r>
            <w:r w:rsidRPr="0016235B">
              <w:rPr>
                <w:rFonts w:ascii="Candara" w:hAnsi="Candara" w:cs="Times New Roman"/>
              </w:rPr>
              <w:t xml:space="preserve"> had more of the Essential Reproductive Health Medicines than </w:t>
            </w:r>
            <w:r w:rsidR="00F720EC" w:rsidRPr="0016235B">
              <w:rPr>
                <w:rFonts w:ascii="Candara" w:hAnsi="Candara" w:cs="Times New Roman"/>
              </w:rPr>
              <w:t>G</w:t>
            </w:r>
            <w:r w:rsidRPr="0016235B">
              <w:rPr>
                <w:rFonts w:ascii="Candara" w:hAnsi="Candara" w:cs="Times New Roman"/>
              </w:rPr>
              <w:t xml:space="preserve">eneral hospitals </w:t>
            </w:r>
            <w:r w:rsidR="00F720EC" w:rsidRPr="0016235B">
              <w:rPr>
                <w:rFonts w:ascii="Candara" w:hAnsi="Candara" w:cs="Times New Roman"/>
              </w:rPr>
              <w:t>(</w:t>
            </w:r>
            <w:r w:rsidRPr="0016235B">
              <w:rPr>
                <w:rFonts w:ascii="Candara" w:hAnsi="Candara" w:cs="Times New Roman"/>
              </w:rPr>
              <w:t>50%</w:t>
            </w:r>
            <w:r w:rsidR="00F720EC" w:rsidRPr="0016235B">
              <w:rPr>
                <w:rFonts w:ascii="Candara" w:hAnsi="Candara" w:cs="Times New Roman"/>
              </w:rPr>
              <w:t>)</w:t>
            </w:r>
          </w:p>
          <w:p w14:paraId="047F9642" w14:textId="13E8DF8C" w:rsidR="00F720EC" w:rsidRPr="0016235B" w:rsidRDefault="00F720EC" w:rsidP="00F720EC">
            <w:pPr>
              <w:pStyle w:val="ListParagraph"/>
              <w:numPr>
                <w:ilvl w:val="0"/>
                <w:numId w:val="1"/>
              </w:numPr>
              <w:spacing w:after="120" w:line="264" w:lineRule="auto"/>
              <w:jc w:val="both"/>
              <w:rPr>
                <w:rFonts w:ascii="Candara" w:hAnsi="Candara" w:cs="Times New Roman"/>
              </w:rPr>
            </w:pPr>
            <w:r w:rsidRPr="0016235B">
              <w:rPr>
                <w:rFonts w:ascii="Candara" w:hAnsi="Candara" w:cs="Times New Roman"/>
              </w:rPr>
              <w:t>Reproductive</w:t>
            </w:r>
            <w:r w:rsidR="00C067C5" w:rsidRPr="0016235B">
              <w:rPr>
                <w:rFonts w:ascii="Candara" w:hAnsi="Candara" w:cs="Times New Roman"/>
              </w:rPr>
              <w:t xml:space="preserve"> </w:t>
            </w:r>
            <w:r w:rsidRPr="0016235B">
              <w:rPr>
                <w:rFonts w:ascii="Candara" w:hAnsi="Candara" w:cs="Times New Roman"/>
              </w:rPr>
              <w:t>health</w:t>
            </w:r>
            <w:r w:rsidR="00C067C5" w:rsidRPr="0016235B">
              <w:rPr>
                <w:rFonts w:ascii="Candara" w:hAnsi="Candara" w:cs="Times New Roman"/>
              </w:rPr>
              <w:t xml:space="preserve"> medicines were fairly distributed among the private and public facilities </w:t>
            </w:r>
          </w:p>
          <w:p w14:paraId="3CBD06CC" w14:textId="0B1E085E" w:rsidR="00F2505C" w:rsidRPr="0016235B" w:rsidRDefault="00331D8A" w:rsidP="001151D3">
            <w:pPr>
              <w:pStyle w:val="ListParagraph"/>
              <w:numPr>
                <w:ilvl w:val="0"/>
                <w:numId w:val="1"/>
              </w:numPr>
              <w:spacing w:after="120" w:line="264" w:lineRule="auto"/>
              <w:jc w:val="both"/>
              <w:rPr>
                <w:rFonts w:ascii="Candara" w:hAnsi="Candara"/>
              </w:rPr>
            </w:pPr>
            <w:r w:rsidRPr="0016235B">
              <w:rPr>
                <w:rFonts w:ascii="Candara" w:hAnsi="Candara" w:cs="Times New Roman"/>
              </w:rPr>
              <w:t>Just over a third of facilities in</w:t>
            </w:r>
            <w:r w:rsidR="00C067C5" w:rsidRPr="0016235B">
              <w:rPr>
                <w:rFonts w:ascii="Candara" w:hAnsi="Candara" w:cs="Times New Roman"/>
              </w:rPr>
              <w:t xml:space="preserve"> rural </w:t>
            </w:r>
            <w:r w:rsidRPr="0016235B">
              <w:rPr>
                <w:rFonts w:ascii="Candara" w:hAnsi="Candara" w:cs="Times New Roman"/>
              </w:rPr>
              <w:t>(39%) and</w:t>
            </w:r>
            <w:r w:rsidR="00C067C5" w:rsidRPr="0016235B">
              <w:rPr>
                <w:rFonts w:ascii="Candara" w:hAnsi="Candara" w:cs="Times New Roman"/>
              </w:rPr>
              <w:t xml:space="preserve"> urban </w:t>
            </w:r>
            <w:r w:rsidRPr="0016235B">
              <w:rPr>
                <w:rFonts w:ascii="Candara" w:hAnsi="Candara" w:cs="Times New Roman"/>
              </w:rPr>
              <w:t>(35%) areas had these medicines</w:t>
            </w:r>
          </w:p>
        </w:tc>
      </w:tr>
    </w:tbl>
    <w:p w14:paraId="4038551E" w14:textId="77777777" w:rsidR="00FE60D8" w:rsidRPr="0016235B" w:rsidRDefault="00FE60D8" w:rsidP="00FE60D8">
      <w:pPr>
        <w:spacing w:after="0" w:line="240" w:lineRule="auto"/>
        <w:rPr>
          <w:rFonts w:ascii="Candara" w:eastAsia="Times New Roman" w:hAnsi="Candara" w:cs="Times New Roman"/>
          <w:b/>
          <w:bCs/>
          <w:lang w:eastAsia="en-GB"/>
        </w:rPr>
      </w:pPr>
    </w:p>
    <w:p w14:paraId="4C2640A1" w14:textId="77777777" w:rsidR="00FE60D8" w:rsidRPr="0016235B" w:rsidRDefault="00FE60D8" w:rsidP="00FE60D8">
      <w:pPr>
        <w:spacing w:after="0" w:line="240" w:lineRule="auto"/>
        <w:rPr>
          <w:rFonts w:ascii="Candara" w:eastAsia="Times New Roman" w:hAnsi="Candara" w:cs="Times New Roman"/>
          <w:b/>
          <w:bCs/>
          <w:lang w:eastAsia="en-GB"/>
        </w:rPr>
      </w:pPr>
    </w:p>
    <w:p w14:paraId="728A4D6E" w14:textId="77777777" w:rsidR="00FE60D8" w:rsidRPr="0016235B" w:rsidRDefault="00FE60D8" w:rsidP="00FE60D8">
      <w:pPr>
        <w:spacing w:after="0" w:line="240" w:lineRule="auto"/>
        <w:rPr>
          <w:rFonts w:ascii="Candara" w:eastAsia="Times New Roman" w:hAnsi="Candara" w:cs="Times New Roman"/>
          <w:b/>
          <w:bCs/>
          <w:lang w:eastAsia="en-GB"/>
        </w:rPr>
      </w:pPr>
    </w:p>
    <w:p w14:paraId="3EC97936" w14:textId="77777777" w:rsidR="00FE60D8" w:rsidRPr="0016235B" w:rsidRDefault="00FE60D8" w:rsidP="00FE60D8">
      <w:pPr>
        <w:spacing w:after="0" w:line="240" w:lineRule="auto"/>
        <w:rPr>
          <w:rFonts w:ascii="Candara" w:eastAsia="Times New Roman" w:hAnsi="Candara" w:cs="Times New Roman"/>
          <w:b/>
          <w:bCs/>
          <w:lang w:eastAsia="en-GB"/>
        </w:rPr>
      </w:pPr>
    </w:p>
    <w:p w14:paraId="141E6B36" w14:textId="28B16F49" w:rsidR="00C15255" w:rsidRPr="0016235B" w:rsidRDefault="00C15255" w:rsidP="005722F2">
      <w:pPr>
        <w:pStyle w:val="Heading2"/>
        <w:numPr>
          <w:ilvl w:val="1"/>
          <w:numId w:val="25"/>
        </w:numPr>
        <w:rPr>
          <w:rFonts w:ascii="Candara" w:hAnsi="Candara"/>
          <w:b/>
          <w:sz w:val="28"/>
          <w:szCs w:val="28"/>
        </w:rPr>
      </w:pPr>
      <w:bookmarkStart w:id="46" w:name="_Toc11494059"/>
      <w:r w:rsidRPr="0016235B">
        <w:rPr>
          <w:rFonts w:ascii="Candara" w:hAnsi="Candara"/>
          <w:b/>
          <w:sz w:val="28"/>
          <w:szCs w:val="28"/>
        </w:rPr>
        <w:t>Maternal health products</w:t>
      </w:r>
      <w:bookmarkEnd w:id="46"/>
    </w:p>
    <w:p w14:paraId="6E03B09C" w14:textId="77777777" w:rsidR="00C15255" w:rsidRPr="0016235B" w:rsidRDefault="00C15255" w:rsidP="00FE60D8">
      <w:pPr>
        <w:spacing w:after="0" w:line="240" w:lineRule="auto"/>
        <w:rPr>
          <w:rFonts w:ascii="Candara" w:eastAsia="Times New Roman" w:hAnsi="Candara" w:cs="Times New Roman"/>
          <w:b/>
          <w:bCs/>
          <w:lang w:eastAsia="en-GB"/>
        </w:rPr>
      </w:pPr>
    </w:p>
    <w:p w14:paraId="3A071A4A" w14:textId="77777777" w:rsidR="00C15255" w:rsidRPr="0016235B" w:rsidRDefault="00C15255" w:rsidP="00FE60D8">
      <w:pPr>
        <w:spacing w:after="0" w:line="240" w:lineRule="auto"/>
        <w:rPr>
          <w:rFonts w:ascii="Candara" w:eastAsia="Times New Roman" w:hAnsi="Candara" w:cs="Times New Roman"/>
          <w:b/>
          <w:bCs/>
          <w:lang w:eastAsia="en-GB"/>
        </w:rPr>
      </w:pPr>
    </w:p>
    <w:p w14:paraId="523BD705" w14:textId="4E4BA09D" w:rsidR="00FE60D8" w:rsidRPr="0016235B" w:rsidRDefault="001151D3" w:rsidP="00276442">
      <w:pPr>
        <w:spacing w:after="0" w:line="240" w:lineRule="auto"/>
        <w:jc w:val="both"/>
        <w:rPr>
          <w:rFonts w:ascii="Candara" w:eastAsia="Times New Roman" w:hAnsi="Candara" w:cs="Times New Roman"/>
          <w:bCs/>
          <w:sz w:val="24"/>
          <w:szCs w:val="24"/>
          <w:lang w:eastAsia="en-GB"/>
        </w:rPr>
      </w:pPr>
      <w:r w:rsidRPr="0016235B">
        <w:rPr>
          <w:rFonts w:ascii="Candara" w:eastAsia="Times New Roman" w:hAnsi="Candara" w:cs="Times New Roman"/>
          <w:bCs/>
          <w:sz w:val="24"/>
          <w:szCs w:val="24"/>
          <w:lang w:eastAsia="en-GB"/>
        </w:rPr>
        <w:t>Twenty-one</w:t>
      </w:r>
      <w:r w:rsidR="00276442" w:rsidRPr="0016235B">
        <w:rPr>
          <w:rFonts w:ascii="Candara" w:eastAsia="Times New Roman" w:hAnsi="Candara" w:cs="Times New Roman"/>
          <w:bCs/>
          <w:sz w:val="24"/>
          <w:szCs w:val="24"/>
          <w:lang w:eastAsia="en-GB"/>
        </w:rPr>
        <w:t xml:space="preserve"> tracer medicines were assessed for availability of maternal health products in health facilities.</w:t>
      </w:r>
    </w:p>
    <w:p w14:paraId="112C07F2" w14:textId="77777777" w:rsidR="00C15255" w:rsidRPr="0016235B" w:rsidRDefault="00C15255" w:rsidP="00FE60D8">
      <w:pPr>
        <w:spacing w:after="0" w:line="240" w:lineRule="auto"/>
        <w:rPr>
          <w:rFonts w:ascii="Candara" w:eastAsia="Times New Roman" w:hAnsi="Candara" w:cs="Times New Roman"/>
          <w:b/>
          <w:bCs/>
          <w:lang w:eastAsia="en-GB"/>
        </w:rPr>
      </w:pPr>
    </w:p>
    <w:p w14:paraId="332EFCBC" w14:textId="77777777" w:rsidR="00276442" w:rsidRPr="0016235B" w:rsidRDefault="00276442" w:rsidP="00276442">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 xml:space="preserve">Mean availability of maternal health products by key </w:t>
      </w:r>
      <w:proofErr w:type="spellStart"/>
      <w:r w:rsidRPr="0016235B">
        <w:rPr>
          <w:rFonts w:ascii="Candara" w:eastAsia="Times New Roman" w:hAnsi="Candara" w:cs="Times New Roman"/>
          <w:b/>
          <w:bCs/>
          <w:sz w:val="24"/>
          <w:szCs w:val="24"/>
          <w:lang w:eastAsia="en-GB"/>
        </w:rPr>
        <w:t>stratifiers</w:t>
      </w:r>
      <w:proofErr w:type="spellEnd"/>
      <w:r w:rsidRPr="0016235B">
        <w:rPr>
          <w:rFonts w:ascii="Candara" w:eastAsia="Times New Roman" w:hAnsi="Candara" w:cs="Times New Roman"/>
          <w:b/>
          <w:bCs/>
          <w:sz w:val="24"/>
          <w:szCs w:val="24"/>
          <w:lang w:eastAsia="en-GB"/>
        </w:rPr>
        <w:t xml:space="preserve"> (N=166)</w:t>
      </w:r>
    </w:p>
    <w:p w14:paraId="2CA29044" w14:textId="77777777" w:rsidR="00276442" w:rsidRPr="0016235B" w:rsidRDefault="00276442" w:rsidP="00276442">
      <w:pPr>
        <w:rPr>
          <w:rFonts w:ascii="Candara" w:hAnsi="Candara" w:cs="Times New Roman"/>
          <w:b/>
        </w:rPr>
      </w:pPr>
      <w:r w:rsidRPr="0016235B">
        <w:rPr>
          <w:rFonts w:ascii="Candara" w:hAnsi="Candara"/>
          <w:noProof/>
        </w:rPr>
        <w:drawing>
          <wp:inline distT="0" distB="0" distL="0" distR="0" wp14:anchorId="73853D9E" wp14:editId="7BEA9936">
            <wp:extent cx="6048375" cy="4133850"/>
            <wp:effectExtent l="0" t="0" r="9525" b="0"/>
            <wp:docPr id="146" name="Chart 146"/>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7723A137" w14:textId="77777777" w:rsidR="00C15255" w:rsidRPr="0016235B" w:rsidRDefault="00C15255" w:rsidP="00FE60D8">
      <w:pPr>
        <w:spacing w:after="0" w:line="240" w:lineRule="auto"/>
        <w:rPr>
          <w:rFonts w:ascii="Candara" w:eastAsia="Times New Roman" w:hAnsi="Candara" w:cs="Times New Roman"/>
          <w:b/>
          <w:bCs/>
          <w:lang w:eastAsia="en-GB"/>
        </w:rPr>
      </w:pPr>
    </w:p>
    <w:p w14:paraId="5CB4C2D1" w14:textId="30749098" w:rsidR="00FE60D8" w:rsidRPr="0016235B" w:rsidRDefault="00FE60D8" w:rsidP="00FE60D8">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Mean availability of maternal health products (N=16</w:t>
      </w:r>
      <w:r w:rsidR="00C15255" w:rsidRPr="0016235B">
        <w:rPr>
          <w:rFonts w:ascii="Candara" w:eastAsia="Times New Roman" w:hAnsi="Candara" w:cs="Times New Roman"/>
          <w:b/>
          <w:bCs/>
          <w:sz w:val="24"/>
          <w:szCs w:val="24"/>
          <w:lang w:eastAsia="en-GB"/>
        </w:rPr>
        <w:t>6</w:t>
      </w:r>
      <w:r w:rsidRPr="0016235B">
        <w:rPr>
          <w:rFonts w:ascii="Candara" w:eastAsia="Times New Roman" w:hAnsi="Candara" w:cs="Times New Roman"/>
          <w:b/>
          <w:bCs/>
          <w:sz w:val="24"/>
          <w:szCs w:val="24"/>
          <w:lang w:eastAsia="en-GB"/>
        </w:rPr>
        <w:t>)</w:t>
      </w:r>
    </w:p>
    <w:p w14:paraId="1DA2AA43" w14:textId="67B28361" w:rsidR="00FE60D8" w:rsidRPr="0016235B" w:rsidRDefault="00C15255" w:rsidP="00FE60D8">
      <w:pPr>
        <w:rPr>
          <w:rFonts w:ascii="Candara" w:hAnsi="Candara" w:cs="Times New Roman"/>
          <w:b/>
        </w:rPr>
      </w:pPr>
      <w:r w:rsidRPr="0016235B">
        <w:rPr>
          <w:rFonts w:ascii="Candara" w:hAnsi="Candara"/>
          <w:noProof/>
        </w:rPr>
        <w:drawing>
          <wp:inline distT="0" distB="0" distL="0" distR="0" wp14:anchorId="46670D69" wp14:editId="46877364">
            <wp:extent cx="5876925" cy="4762500"/>
            <wp:effectExtent l="0" t="0" r="9525" b="0"/>
            <wp:docPr id="145" name="Chart 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7F95D6E9" w14:textId="77777777" w:rsidR="00C15255" w:rsidRPr="0016235B" w:rsidRDefault="00C15255" w:rsidP="00FE60D8">
      <w:pPr>
        <w:spacing w:after="0" w:line="240" w:lineRule="auto"/>
        <w:rPr>
          <w:rFonts w:ascii="Candara" w:eastAsia="Times New Roman" w:hAnsi="Candara" w:cs="Times New Roman"/>
          <w:bCs/>
          <w:lang w:eastAsia="en-GB"/>
        </w:rPr>
      </w:pPr>
    </w:p>
    <w:p w14:paraId="601C408F" w14:textId="77777777" w:rsidR="00FE60D8" w:rsidRPr="0016235B" w:rsidRDefault="00FE60D8" w:rsidP="00FE60D8">
      <w:pPr>
        <w:spacing w:after="0" w:line="240" w:lineRule="auto"/>
        <w:rPr>
          <w:rFonts w:ascii="Candara" w:eastAsia="Times New Roman" w:hAnsi="Candara" w:cs="Times New Roman"/>
          <w:bCs/>
          <w:lang w:eastAsia="en-GB"/>
        </w:rPr>
      </w:pPr>
    </w:p>
    <w:p w14:paraId="36E591E8" w14:textId="518CA280" w:rsidR="00FE60D8" w:rsidRPr="0016235B" w:rsidRDefault="00FE60D8" w:rsidP="00FE60D8">
      <w:pPr>
        <w:spacing w:after="0" w:line="240" w:lineRule="auto"/>
        <w:rPr>
          <w:rFonts w:ascii="Candara" w:eastAsia="Times New Roman" w:hAnsi="Candara" w:cs="Times New Roman"/>
          <w:b/>
          <w:bCs/>
          <w:sz w:val="24"/>
          <w:szCs w:val="24"/>
          <w:lang w:eastAsia="en-GB"/>
        </w:rPr>
      </w:pPr>
      <w:r w:rsidRPr="0016235B">
        <w:rPr>
          <w:rFonts w:ascii="Candara" w:eastAsia="Times New Roman" w:hAnsi="Candara" w:cs="Times New Roman"/>
          <w:b/>
          <w:bCs/>
          <w:sz w:val="24"/>
          <w:szCs w:val="24"/>
          <w:lang w:eastAsia="en-GB"/>
        </w:rPr>
        <w:t>Percent of facilities which experienced a stock</w:t>
      </w:r>
      <w:r w:rsidR="0082488A" w:rsidRPr="0016235B">
        <w:rPr>
          <w:rFonts w:ascii="Candara" w:eastAsia="Times New Roman" w:hAnsi="Candara" w:cs="Times New Roman"/>
          <w:b/>
          <w:bCs/>
          <w:sz w:val="24"/>
          <w:szCs w:val="24"/>
          <w:lang w:eastAsia="en-GB"/>
        </w:rPr>
        <w:t>-</w:t>
      </w:r>
      <w:r w:rsidRPr="0016235B">
        <w:rPr>
          <w:rFonts w:ascii="Candara" w:eastAsia="Times New Roman" w:hAnsi="Candara" w:cs="Times New Roman"/>
          <w:b/>
          <w:bCs/>
          <w:sz w:val="24"/>
          <w:szCs w:val="24"/>
          <w:lang w:eastAsia="en-GB"/>
        </w:rPr>
        <w:t>out of maternal health products in the 3 months before the survey</w:t>
      </w:r>
    </w:p>
    <w:p w14:paraId="201B3099" w14:textId="3FE02E59" w:rsidR="00FE60D8" w:rsidRPr="0016235B" w:rsidRDefault="00C15255" w:rsidP="00FE60D8">
      <w:pPr>
        <w:rPr>
          <w:rFonts w:ascii="Candara" w:hAnsi="Candara" w:cs="Times New Roman"/>
          <w:b/>
        </w:rPr>
      </w:pPr>
      <w:r w:rsidRPr="0016235B">
        <w:rPr>
          <w:rFonts w:ascii="Candara" w:hAnsi="Candara"/>
          <w:noProof/>
        </w:rPr>
        <w:drawing>
          <wp:inline distT="0" distB="0" distL="0" distR="0" wp14:anchorId="165ED025" wp14:editId="3C9787D2">
            <wp:extent cx="5705475" cy="3467100"/>
            <wp:effectExtent l="0" t="0" r="9525" b="0"/>
            <wp:docPr id="147" name="Chart 147"/>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tbl>
      <w:tblPr>
        <w:tblStyle w:val="TableGrid"/>
        <w:tblW w:w="9409" w:type="dxa"/>
        <w:tblLook w:val="04A0" w:firstRow="1" w:lastRow="0" w:firstColumn="1" w:lastColumn="0" w:noHBand="0" w:noVBand="1"/>
      </w:tblPr>
      <w:tblGrid>
        <w:gridCol w:w="9409"/>
      </w:tblGrid>
      <w:tr w:rsidR="00C15255" w:rsidRPr="0016235B" w14:paraId="49EDD602" w14:textId="77777777" w:rsidTr="00397C88">
        <w:trPr>
          <w:trHeight w:val="262"/>
        </w:trPr>
        <w:tc>
          <w:tcPr>
            <w:tcW w:w="9409" w:type="dxa"/>
          </w:tcPr>
          <w:p w14:paraId="11D8EC4C" w14:textId="77777777" w:rsidR="00C15255" w:rsidRPr="0016235B" w:rsidRDefault="00C15255" w:rsidP="00397C88">
            <w:pPr>
              <w:rPr>
                <w:rFonts w:ascii="Candara" w:hAnsi="Candara"/>
                <w:b/>
              </w:rPr>
            </w:pPr>
            <w:r w:rsidRPr="0016235B">
              <w:rPr>
                <w:rFonts w:ascii="Candara" w:hAnsi="Candara"/>
                <w:b/>
              </w:rPr>
              <w:t>Key findings</w:t>
            </w:r>
          </w:p>
        </w:tc>
      </w:tr>
      <w:tr w:rsidR="00C15255" w:rsidRPr="0016235B" w14:paraId="187DC2F1" w14:textId="77777777" w:rsidTr="00397C88">
        <w:trPr>
          <w:trHeight w:val="2663"/>
        </w:trPr>
        <w:tc>
          <w:tcPr>
            <w:tcW w:w="9409" w:type="dxa"/>
          </w:tcPr>
          <w:p w14:paraId="4A8DCDC9" w14:textId="08004428" w:rsidR="00276442" w:rsidRPr="0016235B" w:rsidRDefault="00276442" w:rsidP="00276442">
            <w:pPr>
              <w:pStyle w:val="ListParagraph"/>
              <w:numPr>
                <w:ilvl w:val="0"/>
                <w:numId w:val="1"/>
              </w:numPr>
              <w:jc w:val="both"/>
              <w:rPr>
                <w:rFonts w:ascii="Candara" w:hAnsi="Candara"/>
              </w:rPr>
            </w:pPr>
            <w:r w:rsidRPr="0016235B">
              <w:rPr>
                <w:rFonts w:ascii="Candara" w:hAnsi="Candara" w:cs="Times New Roman"/>
              </w:rPr>
              <w:t>Of the 21 m</w:t>
            </w:r>
            <w:r w:rsidR="00A0056F" w:rsidRPr="0016235B">
              <w:rPr>
                <w:rFonts w:ascii="Candara" w:hAnsi="Candara" w:cs="Times New Roman"/>
              </w:rPr>
              <w:t>aternal health products</w:t>
            </w:r>
            <w:r w:rsidRPr="0016235B">
              <w:rPr>
                <w:rFonts w:ascii="Candara" w:hAnsi="Candara" w:cs="Times New Roman"/>
              </w:rPr>
              <w:t xml:space="preserve"> assessed, facilities on average had 9 (43%) of them in stock </w:t>
            </w:r>
          </w:p>
          <w:p w14:paraId="0D435647" w14:textId="13B798B7" w:rsidR="00276442" w:rsidRPr="0016235B" w:rsidRDefault="00276442" w:rsidP="00276442">
            <w:pPr>
              <w:pStyle w:val="ListParagraph"/>
              <w:numPr>
                <w:ilvl w:val="0"/>
                <w:numId w:val="1"/>
              </w:numPr>
              <w:jc w:val="both"/>
              <w:rPr>
                <w:rFonts w:ascii="Candara" w:hAnsi="Candara" w:cs="Times New Roman"/>
              </w:rPr>
            </w:pPr>
            <w:r w:rsidRPr="0016235B">
              <w:rPr>
                <w:rFonts w:ascii="Candara" w:hAnsi="Candara" w:cs="Times New Roman"/>
              </w:rPr>
              <w:t xml:space="preserve">3% of these facilities had all the 21 maternal health products </w:t>
            </w:r>
          </w:p>
          <w:p w14:paraId="40A952ED" w14:textId="509AF940" w:rsidR="00F1602E" w:rsidRPr="0016235B" w:rsidRDefault="006A5BB0" w:rsidP="006A5BB0">
            <w:pPr>
              <w:pStyle w:val="ListParagraph"/>
              <w:numPr>
                <w:ilvl w:val="0"/>
                <w:numId w:val="1"/>
              </w:numPr>
              <w:jc w:val="both"/>
              <w:rPr>
                <w:rFonts w:ascii="Candara" w:hAnsi="Candara" w:cs="Times New Roman"/>
              </w:rPr>
            </w:pPr>
            <w:r w:rsidRPr="0016235B">
              <w:rPr>
                <w:rFonts w:ascii="Candara" w:hAnsi="Candara" w:cs="Times New Roman"/>
              </w:rPr>
              <w:t>Oxytocin was most available, in 86% of the facilities, while Betamethasone injection was available in only 14% of the facilities</w:t>
            </w:r>
          </w:p>
          <w:p w14:paraId="6458F047" w14:textId="4D4DD2A8" w:rsidR="006A5BB0" w:rsidRPr="0016235B" w:rsidRDefault="006A5BB0" w:rsidP="00F1602E">
            <w:pPr>
              <w:pStyle w:val="ListParagraph"/>
              <w:numPr>
                <w:ilvl w:val="0"/>
                <w:numId w:val="1"/>
              </w:numPr>
              <w:jc w:val="both"/>
              <w:rPr>
                <w:rFonts w:ascii="Candara" w:hAnsi="Candara" w:cs="Times New Roman"/>
              </w:rPr>
            </w:pPr>
            <w:r w:rsidRPr="0016235B">
              <w:rPr>
                <w:rFonts w:ascii="Candara" w:hAnsi="Candara" w:cs="Times New Roman"/>
              </w:rPr>
              <w:t>Maternal health products were available in 56% of the facilities in South-West and in 39% of the facilities in Central 1</w:t>
            </w:r>
          </w:p>
          <w:p w14:paraId="3D976793" w14:textId="175C4C67" w:rsidR="006A5BB0" w:rsidRPr="0016235B" w:rsidRDefault="006A5BB0" w:rsidP="00F1602E">
            <w:pPr>
              <w:pStyle w:val="ListParagraph"/>
              <w:numPr>
                <w:ilvl w:val="0"/>
                <w:numId w:val="1"/>
              </w:numPr>
              <w:jc w:val="both"/>
              <w:rPr>
                <w:rFonts w:ascii="Candara" w:hAnsi="Candara" w:cs="Times New Roman"/>
              </w:rPr>
            </w:pPr>
            <w:r w:rsidRPr="0016235B">
              <w:rPr>
                <w:rFonts w:ascii="Candara" w:hAnsi="Candara" w:cs="Times New Roman"/>
              </w:rPr>
              <w:t>More private facilities (44%) than public (31%) had maternal health products</w:t>
            </w:r>
          </w:p>
          <w:p w14:paraId="4AEBC56A" w14:textId="3AF3354C" w:rsidR="006A5BB0" w:rsidRPr="0016235B" w:rsidRDefault="006A5BB0" w:rsidP="00F1602E">
            <w:pPr>
              <w:pStyle w:val="ListParagraph"/>
              <w:numPr>
                <w:ilvl w:val="0"/>
                <w:numId w:val="1"/>
              </w:numPr>
              <w:jc w:val="both"/>
              <w:rPr>
                <w:rFonts w:ascii="Candara" w:hAnsi="Candara" w:cs="Times New Roman"/>
              </w:rPr>
            </w:pPr>
            <w:r w:rsidRPr="0016235B">
              <w:rPr>
                <w:rFonts w:ascii="Candara" w:hAnsi="Candara" w:cs="Times New Roman"/>
              </w:rPr>
              <w:t>More urban based facilities (42%) had these products, than rural based facilities (34%)</w:t>
            </w:r>
          </w:p>
          <w:p w14:paraId="7ACB183E" w14:textId="0029D0D3" w:rsidR="002911B2" w:rsidRPr="0016235B" w:rsidRDefault="002911B2" w:rsidP="00F1602E">
            <w:pPr>
              <w:pStyle w:val="ListParagraph"/>
              <w:numPr>
                <w:ilvl w:val="0"/>
                <w:numId w:val="1"/>
              </w:numPr>
              <w:jc w:val="both"/>
              <w:rPr>
                <w:rFonts w:ascii="Candara" w:hAnsi="Candara" w:cs="Times New Roman"/>
              </w:rPr>
            </w:pPr>
            <w:r w:rsidRPr="0016235B">
              <w:rPr>
                <w:rFonts w:ascii="Candara" w:hAnsi="Candara" w:cs="Times New Roman"/>
              </w:rPr>
              <w:t>Maternal health products were more available in hospitals than lower level facilities</w:t>
            </w:r>
          </w:p>
          <w:p w14:paraId="2E8AA8E2" w14:textId="4A913BA0" w:rsidR="00C15255" w:rsidRPr="0016235B" w:rsidRDefault="00F1602E" w:rsidP="00F1602E">
            <w:pPr>
              <w:pStyle w:val="ListParagraph"/>
              <w:numPr>
                <w:ilvl w:val="0"/>
                <w:numId w:val="1"/>
              </w:numPr>
              <w:jc w:val="both"/>
              <w:rPr>
                <w:rFonts w:ascii="Candara" w:hAnsi="Candara"/>
              </w:rPr>
            </w:pPr>
            <w:r w:rsidRPr="0016235B">
              <w:rPr>
                <w:rFonts w:ascii="Candara" w:hAnsi="Candara" w:cs="Times New Roman"/>
              </w:rPr>
              <w:t>Of</w:t>
            </w:r>
            <w:r w:rsidR="00276442" w:rsidRPr="0016235B">
              <w:rPr>
                <w:rFonts w:ascii="Candara" w:hAnsi="Candara" w:cs="Times New Roman"/>
              </w:rPr>
              <w:t xml:space="preserve"> the facilities which experienced a stock-out of maternal health products in the past 3 months</w:t>
            </w:r>
            <w:r w:rsidR="00A0056F" w:rsidRPr="0016235B">
              <w:rPr>
                <w:rFonts w:ascii="Candara" w:hAnsi="Candara" w:cs="Times New Roman"/>
              </w:rPr>
              <w:t xml:space="preserve">, </w:t>
            </w:r>
            <w:r w:rsidRPr="0016235B">
              <w:rPr>
                <w:rFonts w:ascii="Candara" w:hAnsi="Candara" w:cs="Times New Roman"/>
              </w:rPr>
              <w:t xml:space="preserve">92% had a stock-out of </w:t>
            </w:r>
            <w:r w:rsidR="00A0056F" w:rsidRPr="0016235B">
              <w:rPr>
                <w:rFonts w:ascii="Candara" w:hAnsi="Candara" w:cs="Times New Roman"/>
              </w:rPr>
              <w:t xml:space="preserve">Betamethasone injection </w:t>
            </w:r>
            <w:r w:rsidRPr="0016235B">
              <w:rPr>
                <w:rFonts w:ascii="Candara" w:hAnsi="Candara" w:cs="Times New Roman"/>
              </w:rPr>
              <w:t>while 51% had a stock-out of</w:t>
            </w:r>
            <w:r w:rsidR="00A0056F" w:rsidRPr="0016235B">
              <w:rPr>
                <w:rFonts w:ascii="Candara" w:hAnsi="Candara" w:cs="Times New Roman"/>
              </w:rPr>
              <w:t xml:space="preserve"> gentamicin </w:t>
            </w:r>
            <w:r w:rsidRPr="0016235B">
              <w:rPr>
                <w:rFonts w:ascii="Candara" w:hAnsi="Candara" w:cs="Times New Roman"/>
              </w:rPr>
              <w:t>injection</w:t>
            </w:r>
          </w:p>
        </w:tc>
      </w:tr>
    </w:tbl>
    <w:p w14:paraId="186C036E" w14:textId="77777777" w:rsidR="00FE60D8" w:rsidRPr="0016235B" w:rsidRDefault="00FE60D8" w:rsidP="00FE60D8">
      <w:pPr>
        <w:rPr>
          <w:rFonts w:ascii="Candara" w:hAnsi="Candara" w:cs="Times New Roman"/>
          <w:b/>
        </w:rPr>
      </w:pPr>
    </w:p>
    <w:p w14:paraId="02CC4B63" w14:textId="77777777" w:rsidR="00FE60D8" w:rsidRPr="0016235B" w:rsidRDefault="00FE60D8" w:rsidP="00FE60D8">
      <w:pPr>
        <w:rPr>
          <w:rFonts w:ascii="Candara" w:hAnsi="Candara" w:cs="Times New Roman"/>
          <w:b/>
        </w:rPr>
      </w:pPr>
    </w:p>
    <w:p w14:paraId="0F4158FF" w14:textId="77777777" w:rsidR="00FE60D8" w:rsidRPr="0016235B" w:rsidRDefault="00FE60D8" w:rsidP="00FE60D8">
      <w:pPr>
        <w:rPr>
          <w:rFonts w:ascii="Candara" w:hAnsi="Candara" w:cs="Times New Roman"/>
          <w:b/>
        </w:rPr>
        <w:sectPr w:rsidR="00FE60D8" w:rsidRPr="0016235B" w:rsidSect="00B15C32">
          <w:pgSz w:w="11906" w:h="16838"/>
          <w:pgMar w:top="851" w:right="1440" w:bottom="993" w:left="1440" w:header="708" w:footer="708" w:gutter="0"/>
          <w:pgNumType w:start="1"/>
          <w:cols w:space="708"/>
          <w:docGrid w:linePitch="360"/>
        </w:sectPr>
      </w:pPr>
    </w:p>
    <w:p w14:paraId="1816766B" w14:textId="77777777" w:rsidR="00BE2335" w:rsidRPr="0016235B" w:rsidRDefault="00BE2335" w:rsidP="00BE2335">
      <w:pPr>
        <w:jc w:val="both"/>
        <w:rPr>
          <w:rFonts w:ascii="Candara" w:hAnsi="Candara"/>
          <w:b/>
          <w:bCs/>
          <w:sz w:val="20"/>
          <w:szCs w:val="20"/>
        </w:rPr>
      </w:pPr>
    </w:p>
    <w:p w14:paraId="4EA4310E" w14:textId="77777777" w:rsidR="00BE2335" w:rsidRPr="0016235B" w:rsidRDefault="00BE2335" w:rsidP="00BE2335">
      <w:pPr>
        <w:pStyle w:val="ListParagraph"/>
        <w:autoSpaceDE w:val="0"/>
        <w:autoSpaceDN w:val="0"/>
        <w:adjustRightInd w:val="0"/>
        <w:spacing w:after="0" w:line="240" w:lineRule="auto"/>
        <w:rPr>
          <w:rFonts w:ascii="Candara" w:hAnsi="Candara" w:cs="Calibri"/>
          <w:color w:val="000000"/>
          <w:sz w:val="18"/>
          <w:szCs w:val="18"/>
        </w:rPr>
      </w:pPr>
    </w:p>
    <w:p w14:paraId="5120B6FF" w14:textId="77777777" w:rsidR="00BE2335" w:rsidRPr="0016235B" w:rsidRDefault="00BE2335" w:rsidP="005722F2">
      <w:pPr>
        <w:pStyle w:val="Heading2"/>
        <w:numPr>
          <w:ilvl w:val="1"/>
          <w:numId w:val="25"/>
        </w:numPr>
        <w:rPr>
          <w:rFonts w:ascii="Candara" w:hAnsi="Candara"/>
          <w:b/>
          <w:sz w:val="28"/>
          <w:szCs w:val="28"/>
        </w:rPr>
      </w:pPr>
      <w:bookmarkStart w:id="47" w:name="_Toc11494060"/>
      <w:r w:rsidRPr="0016235B">
        <w:rPr>
          <w:rFonts w:ascii="Candara" w:hAnsi="Candara"/>
          <w:b/>
          <w:sz w:val="28"/>
          <w:szCs w:val="28"/>
        </w:rPr>
        <w:t>Immunization</w:t>
      </w:r>
      <w:bookmarkEnd w:id="47"/>
    </w:p>
    <w:p w14:paraId="1170413B" w14:textId="77777777" w:rsidR="00252BD5" w:rsidRPr="0016235B" w:rsidRDefault="00252BD5" w:rsidP="00BE2335">
      <w:pPr>
        <w:pStyle w:val="Default"/>
        <w:jc w:val="both"/>
        <w:rPr>
          <w:rFonts w:ascii="Candara" w:hAnsi="Candara"/>
          <w:sz w:val="18"/>
          <w:szCs w:val="18"/>
        </w:rPr>
      </w:pPr>
    </w:p>
    <w:p w14:paraId="6F194301" w14:textId="77777777" w:rsidR="00BE2335" w:rsidRPr="0016235B" w:rsidRDefault="00BE2335" w:rsidP="00252BD5">
      <w:pPr>
        <w:pStyle w:val="Default"/>
        <w:jc w:val="both"/>
        <w:rPr>
          <w:rFonts w:ascii="Candara" w:hAnsi="Candara" w:cstheme="minorBidi"/>
          <w:color w:val="auto"/>
        </w:rPr>
      </w:pPr>
      <w:r w:rsidRPr="0016235B">
        <w:rPr>
          <w:rFonts w:ascii="Candara" w:hAnsi="Candara" w:cstheme="minorBidi"/>
          <w:color w:val="auto"/>
        </w:rPr>
        <w:t>The different immunization included in the assessment were; Routine child immunization services, Routine measles immunization, Routine DPT-Hib-</w:t>
      </w:r>
      <w:proofErr w:type="spellStart"/>
      <w:r w:rsidRPr="0016235B">
        <w:rPr>
          <w:rFonts w:ascii="Candara" w:hAnsi="Candara" w:cstheme="minorBidi"/>
          <w:color w:val="auto"/>
        </w:rPr>
        <w:t>HepB</w:t>
      </w:r>
      <w:proofErr w:type="spellEnd"/>
      <w:r w:rsidRPr="0016235B">
        <w:rPr>
          <w:rFonts w:ascii="Candara" w:hAnsi="Candara" w:cstheme="minorBidi"/>
          <w:color w:val="auto"/>
        </w:rPr>
        <w:t xml:space="preserve"> immunization, Routine polio immunization, BCG immunization, Rotavirus immunization, Pneumococcal immunization.</w:t>
      </w:r>
    </w:p>
    <w:p w14:paraId="372C6C8F" w14:textId="77777777" w:rsidR="00BE2335" w:rsidRPr="0016235B" w:rsidRDefault="00BE2335" w:rsidP="00BE2335">
      <w:pPr>
        <w:tabs>
          <w:tab w:val="left" w:pos="1935"/>
        </w:tabs>
        <w:jc w:val="both"/>
        <w:rPr>
          <w:rFonts w:ascii="Candara" w:hAnsi="Candara"/>
          <w:b/>
          <w:sz w:val="20"/>
          <w:szCs w:val="20"/>
        </w:rPr>
      </w:pPr>
    </w:p>
    <w:p w14:paraId="3E4D72B4" w14:textId="0855B7D2" w:rsidR="00BE2335" w:rsidRPr="0016235B" w:rsidRDefault="00BE2335" w:rsidP="00BE2335">
      <w:pPr>
        <w:spacing w:after="0" w:line="240" w:lineRule="auto"/>
        <w:jc w:val="both"/>
        <w:rPr>
          <w:rFonts w:ascii="Candara" w:eastAsia="Times New Roman" w:hAnsi="Candara" w:cs="Calibri"/>
          <w:b/>
          <w:bCs/>
          <w:color w:val="0070C0"/>
          <w:sz w:val="24"/>
          <w:szCs w:val="24"/>
        </w:rPr>
      </w:pPr>
      <w:r w:rsidRPr="0016235B">
        <w:rPr>
          <w:rFonts w:ascii="Candara" w:hAnsi="Candara"/>
          <w:b/>
          <w:sz w:val="24"/>
          <w:szCs w:val="24"/>
        </w:rPr>
        <w:t>Percent of facilities offering routine immunization services</w:t>
      </w:r>
      <w:r w:rsidR="00252BD5" w:rsidRPr="0016235B">
        <w:rPr>
          <w:rFonts w:ascii="Candara" w:hAnsi="Candara"/>
          <w:b/>
          <w:sz w:val="24"/>
          <w:szCs w:val="24"/>
        </w:rPr>
        <w:t xml:space="preserve"> (N=166)</w:t>
      </w:r>
    </w:p>
    <w:p w14:paraId="3C364B8B" w14:textId="77777777" w:rsidR="00BE2335" w:rsidRPr="0016235B" w:rsidRDefault="00BE2335" w:rsidP="00BE2335">
      <w:pPr>
        <w:tabs>
          <w:tab w:val="left" w:pos="1935"/>
        </w:tabs>
        <w:jc w:val="both"/>
        <w:rPr>
          <w:rFonts w:ascii="Candara" w:hAnsi="Candara"/>
          <w:sz w:val="20"/>
          <w:szCs w:val="20"/>
        </w:rPr>
      </w:pPr>
      <w:r w:rsidRPr="0016235B">
        <w:rPr>
          <w:rFonts w:ascii="Candara" w:hAnsi="Candara"/>
          <w:noProof/>
        </w:rPr>
        <w:drawing>
          <wp:inline distT="0" distB="0" distL="0" distR="0" wp14:anchorId="5DD87AC7" wp14:editId="7D0D9DA0">
            <wp:extent cx="5848350" cy="2962275"/>
            <wp:effectExtent l="0" t="0" r="0" b="9525"/>
            <wp:docPr id="98" name="Chart 98"/>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09FCD968" w14:textId="77777777" w:rsidR="00BE2335" w:rsidRPr="0016235B" w:rsidRDefault="00BE2335" w:rsidP="00BE2335">
      <w:pPr>
        <w:spacing w:after="0" w:line="240" w:lineRule="auto"/>
        <w:jc w:val="both"/>
        <w:rPr>
          <w:rFonts w:ascii="Candara" w:hAnsi="Candara"/>
          <w:b/>
          <w:sz w:val="20"/>
          <w:szCs w:val="20"/>
        </w:rPr>
      </w:pPr>
    </w:p>
    <w:p w14:paraId="442D3051" w14:textId="77777777" w:rsidR="00BE2335" w:rsidRPr="0016235B" w:rsidRDefault="00BE2335" w:rsidP="00BE2335">
      <w:pPr>
        <w:spacing w:after="0" w:line="240" w:lineRule="auto"/>
        <w:jc w:val="both"/>
        <w:rPr>
          <w:rFonts w:ascii="Candara" w:hAnsi="Candara"/>
          <w:b/>
          <w:sz w:val="20"/>
          <w:szCs w:val="20"/>
        </w:rPr>
      </w:pPr>
    </w:p>
    <w:p w14:paraId="14A35C7C" w14:textId="77777777" w:rsidR="00BE2335" w:rsidRPr="0016235B" w:rsidRDefault="00BE2335" w:rsidP="00BE2335">
      <w:pPr>
        <w:spacing w:after="0" w:line="240" w:lineRule="auto"/>
        <w:jc w:val="both"/>
        <w:rPr>
          <w:rFonts w:ascii="Candara" w:hAnsi="Candara"/>
          <w:b/>
          <w:sz w:val="20"/>
          <w:szCs w:val="20"/>
        </w:rPr>
      </w:pPr>
    </w:p>
    <w:p w14:paraId="5A1FB858" w14:textId="77777777" w:rsidR="00BE2335" w:rsidRPr="0016235B" w:rsidRDefault="00BE2335" w:rsidP="00BE2335">
      <w:pPr>
        <w:spacing w:after="0" w:line="240" w:lineRule="auto"/>
        <w:jc w:val="both"/>
        <w:rPr>
          <w:rFonts w:ascii="Candara" w:hAnsi="Candara"/>
          <w:b/>
          <w:sz w:val="20"/>
          <w:szCs w:val="20"/>
        </w:rPr>
      </w:pPr>
    </w:p>
    <w:p w14:paraId="0DEFE3C2" w14:textId="77777777" w:rsidR="00BE2335" w:rsidRPr="0016235B" w:rsidRDefault="00BE2335" w:rsidP="00BE2335">
      <w:pPr>
        <w:spacing w:after="0" w:line="240" w:lineRule="auto"/>
        <w:jc w:val="both"/>
        <w:rPr>
          <w:rFonts w:ascii="Candara" w:hAnsi="Candara"/>
          <w:b/>
          <w:sz w:val="20"/>
          <w:szCs w:val="20"/>
        </w:rPr>
      </w:pPr>
    </w:p>
    <w:p w14:paraId="3D4B1352" w14:textId="77777777" w:rsidR="00252BD5" w:rsidRPr="0016235B" w:rsidRDefault="00252BD5" w:rsidP="00BE2335">
      <w:pPr>
        <w:spacing w:after="0" w:line="240" w:lineRule="auto"/>
        <w:jc w:val="both"/>
        <w:rPr>
          <w:rFonts w:ascii="Candara" w:hAnsi="Candara"/>
          <w:b/>
          <w:sz w:val="20"/>
          <w:szCs w:val="20"/>
        </w:rPr>
      </w:pPr>
    </w:p>
    <w:p w14:paraId="471ED173" w14:textId="77777777" w:rsidR="00252BD5" w:rsidRPr="0016235B" w:rsidRDefault="00252BD5" w:rsidP="00BE2335">
      <w:pPr>
        <w:spacing w:after="0" w:line="240" w:lineRule="auto"/>
        <w:jc w:val="both"/>
        <w:rPr>
          <w:rFonts w:ascii="Candara" w:hAnsi="Candara"/>
          <w:b/>
          <w:sz w:val="20"/>
          <w:szCs w:val="20"/>
        </w:rPr>
      </w:pPr>
    </w:p>
    <w:p w14:paraId="045608EA" w14:textId="77777777" w:rsidR="00252BD5" w:rsidRPr="0016235B" w:rsidRDefault="00252BD5" w:rsidP="00BE2335">
      <w:pPr>
        <w:spacing w:after="0" w:line="240" w:lineRule="auto"/>
        <w:jc w:val="both"/>
        <w:rPr>
          <w:rFonts w:ascii="Candara" w:hAnsi="Candara"/>
          <w:b/>
          <w:sz w:val="20"/>
          <w:szCs w:val="20"/>
        </w:rPr>
      </w:pPr>
    </w:p>
    <w:p w14:paraId="73A0AE34" w14:textId="77777777" w:rsidR="00252BD5" w:rsidRPr="0016235B" w:rsidRDefault="00252BD5" w:rsidP="00BE2335">
      <w:pPr>
        <w:spacing w:after="0" w:line="240" w:lineRule="auto"/>
        <w:jc w:val="both"/>
        <w:rPr>
          <w:rFonts w:ascii="Candara" w:hAnsi="Candara"/>
          <w:b/>
          <w:sz w:val="20"/>
          <w:szCs w:val="20"/>
        </w:rPr>
      </w:pPr>
    </w:p>
    <w:p w14:paraId="7647FFBE" w14:textId="77777777" w:rsidR="00252BD5" w:rsidRPr="0016235B" w:rsidRDefault="00252BD5" w:rsidP="00BE2335">
      <w:pPr>
        <w:spacing w:after="0" w:line="240" w:lineRule="auto"/>
        <w:jc w:val="both"/>
        <w:rPr>
          <w:rFonts w:ascii="Candara" w:hAnsi="Candara"/>
          <w:b/>
          <w:sz w:val="20"/>
          <w:szCs w:val="20"/>
        </w:rPr>
      </w:pPr>
    </w:p>
    <w:p w14:paraId="432B09CB" w14:textId="77777777" w:rsidR="00252BD5" w:rsidRPr="0016235B" w:rsidRDefault="00252BD5" w:rsidP="00BE2335">
      <w:pPr>
        <w:spacing w:after="0" w:line="240" w:lineRule="auto"/>
        <w:jc w:val="both"/>
        <w:rPr>
          <w:rFonts w:ascii="Candara" w:hAnsi="Candara"/>
          <w:b/>
          <w:sz w:val="20"/>
          <w:szCs w:val="20"/>
        </w:rPr>
      </w:pPr>
    </w:p>
    <w:p w14:paraId="69D7693B" w14:textId="77777777" w:rsidR="00252BD5" w:rsidRPr="0016235B" w:rsidRDefault="00252BD5" w:rsidP="00BE2335">
      <w:pPr>
        <w:spacing w:after="0" w:line="240" w:lineRule="auto"/>
        <w:jc w:val="both"/>
        <w:rPr>
          <w:rFonts w:ascii="Candara" w:hAnsi="Candara"/>
          <w:b/>
          <w:sz w:val="20"/>
          <w:szCs w:val="20"/>
        </w:rPr>
      </w:pPr>
    </w:p>
    <w:p w14:paraId="65238EA1" w14:textId="77777777" w:rsidR="00252BD5" w:rsidRPr="0016235B" w:rsidRDefault="00252BD5" w:rsidP="00BE2335">
      <w:pPr>
        <w:spacing w:after="0" w:line="240" w:lineRule="auto"/>
        <w:jc w:val="both"/>
        <w:rPr>
          <w:rFonts w:ascii="Candara" w:hAnsi="Candara"/>
          <w:b/>
          <w:sz w:val="20"/>
          <w:szCs w:val="20"/>
        </w:rPr>
      </w:pPr>
    </w:p>
    <w:p w14:paraId="47015082" w14:textId="77777777" w:rsidR="00BE2335" w:rsidRPr="0016235B" w:rsidRDefault="00BE2335" w:rsidP="00BE2335">
      <w:pPr>
        <w:spacing w:after="0" w:line="240" w:lineRule="auto"/>
        <w:jc w:val="both"/>
        <w:rPr>
          <w:rFonts w:ascii="Candara" w:hAnsi="Candara"/>
          <w:b/>
          <w:sz w:val="24"/>
          <w:szCs w:val="24"/>
        </w:rPr>
      </w:pPr>
      <w:r w:rsidRPr="0016235B">
        <w:rPr>
          <w:rFonts w:ascii="Candara" w:hAnsi="Candara"/>
          <w:b/>
          <w:sz w:val="24"/>
          <w:szCs w:val="24"/>
        </w:rPr>
        <w:t xml:space="preserve">Percent of facilities offering routine immunization services by key </w:t>
      </w:r>
      <w:proofErr w:type="spellStart"/>
      <w:r w:rsidRPr="0016235B">
        <w:rPr>
          <w:rFonts w:ascii="Candara" w:hAnsi="Candara"/>
          <w:b/>
          <w:sz w:val="24"/>
          <w:szCs w:val="24"/>
        </w:rPr>
        <w:t>stratifiers</w:t>
      </w:r>
      <w:proofErr w:type="spellEnd"/>
    </w:p>
    <w:p w14:paraId="187A6C90" w14:textId="702003A2" w:rsidR="00BE2335" w:rsidRPr="0016235B" w:rsidRDefault="00252BD5" w:rsidP="00BE2335">
      <w:pPr>
        <w:tabs>
          <w:tab w:val="left" w:pos="4050"/>
        </w:tabs>
        <w:jc w:val="both"/>
        <w:rPr>
          <w:rFonts w:ascii="Candara" w:hAnsi="Candara"/>
          <w:sz w:val="20"/>
          <w:szCs w:val="20"/>
        </w:rPr>
      </w:pPr>
      <w:r w:rsidRPr="0016235B">
        <w:rPr>
          <w:rFonts w:ascii="Candara" w:hAnsi="Candara"/>
          <w:noProof/>
        </w:rPr>
        <w:drawing>
          <wp:inline distT="0" distB="0" distL="0" distR="0" wp14:anchorId="1738513E" wp14:editId="6A6A00AF">
            <wp:extent cx="5943600" cy="3745230"/>
            <wp:effectExtent l="0" t="0" r="0" b="762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2BA381EB" w14:textId="77777777" w:rsidR="00BE2335" w:rsidRPr="0016235B" w:rsidRDefault="00BE2335" w:rsidP="00BE2335">
      <w:pPr>
        <w:spacing w:after="0" w:line="240" w:lineRule="auto"/>
        <w:jc w:val="both"/>
        <w:rPr>
          <w:rFonts w:ascii="Candara" w:eastAsia="Times New Roman" w:hAnsi="Candara" w:cs="Calibri"/>
          <w:b/>
          <w:bCs/>
          <w:color w:val="0070C0"/>
          <w:sz w:val="28"/>
          <w:szCs w:val="28"/>
        </w:rPr>
      </w:pPr>
    </w:p>
    <w:p w14:paraId="3ABBD14A" w14:textId="77777777" w:rsidR="00BE2335" w:rsidRPr="0016235B" w:rsidRDefault="00BE2335" w:rsidP="00BE2335">
      <w:pPr>
        <w:spacing w:after="0" w:line="240" w:lineRule="auto"/>
        <w:jc w:val="both"/>
        <w:rPr>
          <w:rFonts w:ascii="Candara" w:hAnsi="Candara"/>
          <w:b/>
          <w:sz w:val="24"/>
          <w:szCs w:val="24"/>
        </w:rPr>
      </w:pPr>
      <w:r w:rsidRPr="0016235B">
        <w:rPr>
          <w:rFonts w:ascii="Candara" w:hAnsi="Candara"/>
          <w:b/>
          <w:sz w:val="24"/>
          <w:szCs w:val="24"/>
        </w:rPr>
        <w:t>Frequency of offering Immunization services at facilities</w:t>
      </w:r>
    </w:p>
    <w:p w14:paraId="5258D135" w14:textId="21E321EC" w:rsidR="00BE2335" w:rsidRPr="0016235B" w:rsidRDefault="00252BD5" w:rsidP="00BE2335">
      <w:pPr>
        <w:tabs>
          <w:tab w:val="left" w:pos="930"/>
        </w:tabs>
        <w:jc w:val="both"/>
        <w:rPr>
          <w:rFonts w:ascii="Candara" w:hAnsi="Candara"/>
          <w:sz w:val="20"/>
          <w:szCs w:val="20"/>
        </w:rPr>
      </w:pPr>
      <w:r w:rsidRPr="0016235B">
        <w:rPr>
          <w:rFonts w:ascii="Candara" w:hAnsi="Candara"/>
          <w:noProof/>
        </w:rPr>
        <w:drawing>
          <wp:inline distT="0" distB="0" distL="0" distR="0" wp14:anchorId="21992DFB" wp14:editId="2C175DED">
            <wp:extent cx="5291138" cy="3224213"/>
            <wp:effectExtent l="0" t="0" r="5080" b="14605"/>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07ECDEAB" w14:textId="77777777" w:rsidR="00252BD5" w:rsidRPr="0016235B" w:rsidRDefault="00252BD5" w:rsidP="00BE2335">
      <w:pPr>
        <w:jc w:val="both"/>
        <w:rPr>
          <w:rFonts w:ascii="Candara" w:hAnsi="Candara"/>
          <w:sz w:val="20"/>
          <w:szCs w:val="20"/>
        </w:rPr>
      </w:pPr>
    </w:p>
    <w:tbl>
      <w:tblPr>
        <w:tblStyle w:val="TableGrid"/>
        <w:tblW w:w="9409" w:type="dxa"/>
        <w:tblLook w:val="04A0" w:firstRow="1" w:lastRow="0" w:firstColumn="1" w:lastColumn="0" w:noHBand="0" w:noVBand="1"/>
      </w:tblPr>
      <w:tblGrid>
        <w:gridCol w:w="9409"/>
      </w:tblGrid>
      <w:tr w:rsidR="00252BD5" w:rsidRPr="0016235B" w14:paraId="483101D7" w14:textId="77777777" w:rsidTr="00FF2682">
        <w:trPr>
          <w:trHeight w:val="262"/>
        </w:trPr>
        <w:tc>
          <w:tcPr>
            <w:tcW w:w="9409" w:type="dxa"/>
          </w:tcPr>
          <w:p w14:paraId="1BE5566B" w14:textId="77777777" w:rsidR="00252BD5" w:rsidRPr="0016235B" w:rsidRDefault="00252BD5" w:rsidP="00FF2682">
            <w:pPr>
              <w:rPr>
                <w:rFonts w:ascii="Candara" w:hAnsi="Candara"/>
                <w:b/>
              </w:rPr>
            </w:pPr>
            <w:r w:rsidRPr="0016235B">
              <w:rPr>
                <w:rFonts w:ascii="Candara" w:hAnsi="Candara"/>
                <w:b/>
              </w:rPr>
              <w:t>Key findings</w:t>
            </w:r>
          </w:p>
        </w:tc>
      </w:tr>
      <w:tr w:rsidR="00252BD5" w:rsidRPr="0016235B" w14:paraId="5A1C49AC" w14:textId="77777777" w:rsidTr="00FF2682">
        <w:trPr>
          <w:trHeight w:val="2663"/>
        </w:trPr>
        <w:tc>
          <w:tcPr>
            <w:tcW w:w="9409" w:type="dxa"/>
          </w:tcPr>
          <w:p w14:paraId="4E64CB37" w14:textId="77777777" w:rsidR="008B1F96" w:rsidRPr="0016235B" w:rsidRDefault="008B1F96" w:rsidP="008B1F96">
            <w:pPr>
              <w:pStyle w:val="ListParagraph"/>
              <w:numPr>
                <w:ilvl w:val="0"/>
                <w:numId w:val="1"/>
              </w:numPr>
              <w:rPr>
                <w:rFonts w:ascii="Candara" w:hAnsi="Candara" w:cs="Times New Roman"/>
              </w:rPr>
            </w:pPr>
            <w:r w:rsidRPr="0016235B">
              <w:rPr>
                <w:rFonts w:ascii="Candara" w:hAnsi="Candara" w:cs="Times New Roman"/>
              </w:rPr>
              <w:t>In general, 77% of all facilities assessed offered routine immunization services</w:t>
            </w:r>
          </w:p>
          <w:p w14:paraId="0BD4EAE7" w14:textId="3B3AFB0B" w:rsidR="008B1F96" w:rsidRPr="0016235B" w:rsidRDefault="008B1F96" w:rsidP="008B1F96">
            <w:pPr>
              <w:pStyle w:val="ListParagraph"/>
              <w:numPr>
                <w:ilvl w:val="0"/>
                <w:numId w:val="1"/>
              </w:numPr>
              <w:rPr>
                <w:rFonts w:ascii="Candara" w:hAnsi="Candara" w:cs="Times New Roman"/>
              </w:rPr>
            </w:pPr>
            <w:r w:rsidRPr="0016235B">
              <w:rPr>
                <w:rFonts w:ascii="Candara" w:hAnsi="Candara" w:cs="Times New Roman"/>
              </w:rPr>
              <w:t>More than 90% of these facilities offered each of the antigens.</w:t>
            </w:r>
          </w:p>
          <w:p w14:paraId="0244654E" w14:textId="5DAD19B0" w:rsidR="008B1F96" w:rsidRPr="0016235B" w:rsidRDefault="008B1F96" w:rsidP="008B1F96">
            <w:pPr>
              <w:pStyle w:val="ListParagraph"/>
              <w:numPr>
                <w:ilvl w:val="0"/>
                <w:numId w:val="1"/>
              </w:numPr>
              <w:rPr>
                <w:rFonts w:ascii="Candara" w:hAnsi="Candara" w:cs="Times New Roman"/>
              </w:rPr>
            </w:pPr>
            <w:r w:rsidRPr="0016235B">
              <w:rPr>
                <w:rFonts w:ascii="Candara" w:hAnsi="Candara" w:cs="Times New Roman"/>
              </w:rPr>
              <w:t>All regional referrals, 85% General hospitals, 91% of HC III, 89% HC IV assessed offered routine immunization while it was offered in 70% of HCIIs.</w:t>
            </w:r>
          </w:p>
          <w:p w14:paraId="14EF1C75" w14:textId="77777777" w:rsidR="008B1F96" w:rsidRPr="0016235B" w:rsidRDefault="008B1F96" w:rsidP="008B1F96">
            <w:pPr>
              <w:pStyle w:val="ListParagraph"/>
              <w:numPr>
                <w:ilvl w:val="0"/>
                <w:numId w:val="1"/>
              </w:numPr>
              <w:jc w:val="both"/>
              <w:rPr>
                <w:rFonts w:ascii="Candara" w:hAnsi="Candara" w:cs="Times New Roman"/>
              </w:rPr>
            </w:pPr>
            <w:r w:rsidRPr="0016235B">
              <w:rPr>
                <w:rFonts w:ascii="Candara" w:hAnsi="Candara" w:cs="Times New Roman"/>
              </w:rPr>
              <w:t xml:space="preserve">Routine immunization services were in 96% of the public and 59% of private health facilities assessed. </w:t>
            </w:r>
          </w:p>
          <w:p w14:paraId="3423740C" w14:textId="77777777" w:rsidR="008B1F96" w:rsidRPr="0016235B" w:rsidRDefault="008B1F96" w:rsidP="008B1F96">
            <w:pPr>
              <w:pStyle w:val="ListParagraph"/>
              <w:numPr>
                <w:ilvl w:val="0"/>
                <w:numId w:val="1"/>
              </w:numPr>
              <w:jc w:val="both"/>
              <w:rPr>
                <w:rFonts w:ascii="Candara" w:hAnsi="Candara" w:cs="Times New Roman"/>
              </w:rPr>
            </w:pPr>
            <w:r w:rsidRPr="0016235B">
              <w:rPr>
                <w:rFonts w:ascii="Candara" w:hAnsi="Candara" w:cs="Times New Roman"/>
              </w:rPr>
              <w:t>Routine immunization services were available in 93% of the rural and 55% of urban health facilities assessed</w:t>
            </w:r>
          </w:p>
          <w:p w14:paraId="4F27BC09" w14:textId="4B4F0DAE" w:rsidR="008B1F96" w:rsidRPr="0016235B" w:rsidRDefault="008B1F96" w:rsidP="008B1F96">
            <w:pPr>
              <w:pStyle w:val="ListParagraph"/>
              <w:numPr>
                <w:ilvl w:val="0"/>
                <w:numId w:val="1"/>
              </w:numPr>
              <w:rPr>
                <w:rFonts w:ascii="Candara" w:hAnsi="Candara" w:cs="Times New Roman"/>
              </w:rPr>
            </w:pPr>
            <w:r w:rsidRPr="0016235B">
              <w:rPr>
                <w:rFonts w:ascii="Candara" w:hAnsi="Candara" w:cs="Times New Roman"/>
              </w:rPr>
              <w:t>Only 38% of the health facilities assessed in Kampala offered Routine immunization services.</w:t>
            </w:r>
          </w:p>
          <w:p w14:paraId="7C4E122D" w14:textId="4B5D0D14" w:rsidR="00252BD5" w:rsidRPr="0016235B" w:rsidRDefault="008B1F96" w:rsidP="008B1F96">
            <w:pPr>
              <w:pStyle w:val="ListParagraph"/>
              <w:numPr>
                <w:ilvl w:val="0"/>
                <w:numId w:val="1"/>
              </w:numPr>
              <w:jc w:val="both"/>
              <w:rPr>
                <w:rFonts w:ascii="Candara" w:hAnsi="Candara"/>
              </w:rPr>
            </w:pPr>
            <w:r w:rsidRPr="0016235B">
              <w:rPr>
                <w:rFonts w:ascii="Candara" w:hAnsi="Candara" w:cs="Times New Roman"/>
              </w:rPr>
              <w:t>Majority of the facilities assessed (50%) offered Routine immunization services weekly, 31% daily, 12% bi-weekly, 5% monthly and only 2% quarterly.</w:t>
            </w:r>
          </w:p>
        </w:tc>
      </w:tr>
    </w:tbl>
    <w:p w14:paraId="03A9B744" w14:textId="77777777" w:rsidR="00252BD5" w:rsidRPr="0016235B" w:rsidRDefault="00252BD5" w:rsidP="00BE2335">
      <w:pPr>
        <w:jc w:val="both"/>
        <w:rPr>
          <w:rFonts w:ascii="Candara" w:hAnsi="Candara"/>
          <w:sz w:val="20"/>
          <w:szCs w:val="20"/>
        </w:rPr>
      </w:pPr>
    </w:p>
    <w:p w14:paraId="58548D1F" w14:textId="1755CFAF" w:rsidR="00BE2335" w:rsidRPr="0016235B" w:rsidRDefault="00BE2335" w:rsidP="00BE2335">
      <w:pPr>
        <w:spacing w:after="0" w:line="240" w:lineRule="auto"/>
        <w:jc w:val="both"/>
        <w:rPr>
          <w:rFonts w:ascii="Candara" w:eastAsia="Times New Roman" w:hAnsi="Candara" w:cs="Calibri"/>
          <w:b/>
          <w:bCs/>
          <w:color w:val="0070C0"/>
          <w:sz w:val="28"/>
          <w:szCs w:val="28"/>
        </w:rPr>
      </w:pPr>
      <w:r w:rsidRPr="0016235B">
        <w:rPr>
          <w:rFonts w:ascii="Candara" w:hAnsi="Candara"/>
          <w:b/>
          <w:sz w:val="20"/>
          <w:szCs w:val="20"/>
        </w:rPr>
        <w:t>Percentage of facilities that have tracer items for child immunization services among facilities that provide this service (N=12</w:t>
      </w:r>
      <w:r w:rsidR="00630E43" w:rsidRPr="0016235B">
        <w:rPr>
          <w:rFonts w:ascii="Candara" w:hAnsi="Candara"/>
          <w:b/>
          <w:sz w:val="20"/>
          <w:szCs w:val="20"/>
        </w:rPr>
        <w:t>8</w:t>
      </w:r>
      <w:r w:rsidRPr="0016235B">
        <w:rPr>
          <w:rFonts w:ascii="Candara" w:hAnsi="Candara"/>
          <w:b/>
          <w:sz w:val="20"/>
          <w:szCs w:val="20"/>
        </w:rPr>
        <w:t>)</w:t>
      </w:r>
    </w:p>
    <w:p w14:paraId="3EB6CE5B" w14:textId="45429BF1" w:rsidR="00BE2335" w:rsidRPr="0016235B" w:rsidRDefault="00630E43" w:rsidP="00BE2335">
      <w:pPr>
        <w:tabs>
          <w:tab w:val="left" w:pos="1155"/>
        </w:tabs>
        <w:jc w:val="both"/>
        <w:rPr>
          <w:rFonts w:ascii="Candara" w:hAnsi="Candara"/>
          <w:sz w:val="20"/>
          <w:szCs w:val="20"/>
        </w:rPr>
      </w:pPr>
      <w:r w:rsidRPr="0016235B">
        <w:rPr>
          <w:rFonts w:ascii="Candara" w:hAnsi="Candara"/>
          <w:noProof/>
        </w:rPr>
        <w:drawing>
          <wp:inline distT="0" distB="0" distL="0" distR="0" wp14:anchorId="27654EC9" wp14:editId="6F1AAD86">
            <wp:extent cx="6143625" cy="3914775"/>
            <wp:effectExtent l="0" t="0" r="9525" b="9525"/>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177B2A63" w14:textId="77777777" w:rsidR="00630E43" w:rsidRPr="0016235B" w:rsidRDefault="00630E43" w:rsidP="00BE2335">
      <w:pPr>
        <w:tabs>
          <w:tab w:val="left" w:pos="1155"/>
        </w:tabs>
        <w:jc w:val="both"/>
        <w:rPr>
          <w:rFonts w:ascii="Candara" w:hAnsi="Candara"/>
          <w:sz w:val="20"/>
          <w:szCs w:val="20"/>
        </w:rPr>
      </w:pPr>
    </w:p>
    <w:p w14:paraId="7186E7B0" w14:textId="77777777" w:rsidR="00630E43" w:rsidRPr="0016235B" w:rsidRDefault="00630E43" w:rsidP="00BE2335">
      <w:pPr>
        <w:tabs>
          <w:tab w:val="left" w:pos="1155"/>
        </w:tabs>
        <w:jc w:val="both"/>
        <w:rPr>
          <w:rFonts w:ascii="Candara" w:hAnsi="Candara"/>
          <w:sz w:val="20"/>
          <w:szCs w:val="20"/>
        </w:rPr>
      </w:pPr>
    </w:p>
    <w:p w14:paraId="5F733B7A" w14:textId="77777777" w:rsidR="00630E43" w:rsidRPr="0016235B" w:rsidRDefault="00630E43" w:rsidP="00BE2335">
      <w:pPr>
        <w:tabs>
          <w:tab w:val="left" w:pos="1155"/>
        </w:tabs>
        <w:jc w:val="both"/>
        <w:rPr>
          <w:rFonts w:ascii="Candara" w:hAnsi="Candara"/>
          <w:sz w:val="20"/>
          <w:szCs w:val="20"/>
        </w:rPr>
      </w:pPr>
    </w:p>
    <w:p w14:paraId="62BDB0ED" w14:textId="77777777" w:rsidR="00630E43" w:rsidRPr="0016235B" w:rsidRDefault="00630E43" w:rsidP="00BE2335">
      <w:pPr>
        <w:tabs>
          <w:tab w:val="left" w:pos="1155"/>
        </w:tabs>
        <w:jc w:val="both"/>
        <w:rPr>
          <w:rFonts w:ascii="Candara" w:hAnsi="Candara"/>
          <w:sz w:val="20"/>
          <w:szCs w:val="20"/>
        </w:rPr>
      </w:pPr>
    </w:p>
    <w:p w14:paraId="061748B6" w14:textId="6005DCB1" w:rsidR="00BE2335" w:rsidRPr="0016235B" w:rsidRDefault="00BE2335" w:rsidP="00BE2335">
      <w:pPr>
        <w:spacing w:after="0" w:line="240" w:lineRule="auto"/>
        <w:jc w:val="both"/>
        <w:rPr>
          <w:rFonts w:ascii="Candara" w:hAnsi="Candara"/>
          <w:b/>
          <w:sz w:val="24"/>
          <w:szCs w:val="24"/>
        </w:rPr>
      </w:pPr>
      <w:r w:rsidRPr="0016235B">
        <w:rPr>
          <w:rFonts w:ascii="Candara" w:hAnsi="Candara"/>
          <w:b/>
          <w:sz w:val="24"/>
          <w:szCs w:val="24"/>
        </w:rPr>
        <w:t>Percentage of facilities with routine vaccines for immunization among facilities that provide this service (N=12</w:t>
      </w:r>
      <w:r w:rsidR="00630E43" w:rsidRPr="0016235B">
        <w:rPr>
          <w:rFonts w:ascii="Candara" w:hAnsi="Candara"/>
          <w:b/>
          <w:sz w:val="24"/>
          <w:szCs w:val="24"/>
        </w:rPr>
        <w:t>8</w:t>
      </w:r>
      <w:r w:rsidRPr="0016235B">
        <w:rPr>
          <w:rFonts w:ascii="Candara" w:hAnsi="Candara"/>
          <w:b/>
          <w:sz w:val="24"/>
          <w:szCs w:val="24"/>
        </w:rPr>
        <w:t>)</w:t>
      </w:r>
    </w:p>
    <w:p w14:paraId="464D24D1" w14:textId="3CDD7A76" w:rsidR="00BE2335" w:rsidRPr="0016235B" w:rsidRDefault="00630E43" w:rsidP="00BE2335">
      <w:pPr>
        <w:tabs>
          <w:tab w:val="left" w:pos="1470"/>
        </w:tabs>
        <w:jc w:val="both"/>
        <w:rPr>
          <w:rFonts w:ascii="Candara" w:hAnsi="Candara"/>
          <w:sz w:val="20"/>
          <w:szCs w:val="20"/>
        </w:rPr>
      </w:pPr>
      <w:r w:rsidRPr="0016235B">
        <w:rPr>
          <w:rFonts w:ascii="Candara" w:hAnsi="Candara"/>
          <w:noProof/>
        </w:rPr>
        <w:drawing>
          <wp:inline distT="0" distB="0" distL="0" distR="0" wp14:anchorId="17AFCF2C" wp14:editId="480E0572">
            <wp:extent cx="5295900" cy="32004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5CF3C5A5" w14:textId="77777777" w:rsidR="00630E43" w:rsidRPr="0016235B" w:rsidRDefault="00630E43" w:rsidP="00BE2335">
      <w:pPr>
        <w:tabs>
          <w:tab w:val="left" w:pos="1050"/>
        </w:tabs>
        <w:jc w:val="both"/>
        <w:rPr>
          <w:rFonts w:ascii="Candara" w:hAnsi="Candara"/>
          <w:sz w:val="20"/>
          <w:szCs w:val="20"/>
        </w:rPr>
      </w:pPr>
    </w:p>
    <w:tbl>
      <w:tblPr>
        <w:tblStyle w:val="TableGrid"/>
        <w:tblW w:w="9409" w:type="dxa"/>
        <w:tblLook w:val="04A0" w:firstRow="1" w:lastRow="0" w:firstColumn="1" w:lastColumn="0" w:noHBand="0" w:noVBand="1"/>
      </w:tblPr>
      <w:tblGrid>
        <w:gridCol w:w="9409"/>
      </w:tblGrid>
      <w:tr w:rsidR="00630E43" w:rsidRPr="0016235B" w14:paraId="6C506247" w14:textId="77777777" w:rsidTr="00FF2682">
        <w:trPr>
          <w:trHeight w:val="262"/>
        </w:trPr>
        <w:tc>
          <w:tcPr>
            <w:tcW w:w="9409" w:type="dxa"/>
          </w:tcPr>
          <w:p w14:paraId="2102324C" w14:textId="77777777" w:rsidR="00630E43" w:rsidRPr="0016235B" w:rsidRDefault="00630E43" w:rsidP="00FF2682">
            <w:pPr>
              <w:rPr>
                <w:rFonts w:ascii="Candara" w:hAnsi="Candara"/>
                <w:b/>
              </w:rPr>
            </w:pPr>
            <w:r w:rsidRPr="0016235B">
              <w:rPr>
                <w:rFonts w:ascii="Candara" w:hAnsi="Candara"/>
                <w:b/>
              </w:rPr>
              <w:t>Key findings</w:t>
            </w:r>
          </w:p>
        </w:tc>
      </w:tr>
      <w:tr w:rsidR="00630E43" w:rsidRPr="0016235B" w14:paraId="0E777FA3" w14:textId="77777777" w:rsidTr="00FF2682">
        <w:trPr>
          <w:trHeight w:val="2663"/>
        </w:trPr>
        <w:tc>
          <w:tcPr>
            <w:tcW w:w="9409" w:type="dxa"/>
          </w:tcPr>
          <w:p w14:paraId="5B3A81EE" w14:textId="62D771B7" w:rsidR="00630E43" w:rsidRPr="0016235B" w:rsidRDefault="00630E43" w:rsidP="00630E43">
            <w:pPr>
              <w:pStyle w:val="ListParagraph"/>
              <w:numPr>
                <w:ilvl w:val="0"/>
                <w:numId w:val="1"/>
              </w:numPr>
              <w:tabs>
                <w:tab w:val="left" w:pos="1050"/>
              </w:tabs>
              <w:jc w:val="both"/>
              <w:rPr>
                <w:rFonts w:ascii="Candara" w:hAnsi="Candara" w:cs="Times New Roman"/>
              </w:rPr>
            </w:pPr>
            <w:r w:rsidRPr="0016235B">
              <w:rPr>
                <w:rFonts w:ascii="Candara" w:hAnsi="Candara" w:cs="Times New Roman"/>
              </w:rPr>
              <w:t xml:space="preserve">Among facilities that offer immunization services, </w:t>
            </w:r>
            <w:r w:rsidR="009E62C3" w:rsidRPr="0016235B">
              <w:rPr>
                <w:rFonts w:ascii="Candara" w:hAnsi="Candara" w:cs="Times New Roman"/>
              </w:rPr>
              <w:t xml:space="preserve">facilities had 9 of the 10 (88%) of the tracer items assessed for readiness.  33% of the facilities had </w:t>
            </w:r>
            <w:r w:rsidRPr="0016235B">
              <w:rPr>
                <w:rFonts w:ascii="Candara" w:hAnsi="Candara" w:cs="Times New Roman"/>
              </w:rPr>
              <w:t xml:space="preserve">all </w:t>
            </w:r>
            <w:r w:rsidR="009E62C3" w:rsidRPr="0016235B">
              <w:rPr>
                <w:rFonts w:ascii="Candara" w:hAnsi="Candara" w:cs="Times New Roman"/>
              </w:rPr>
              <w:t xml:space="preserve">the </w:t>
            </w:r>
            <w:r w:rsidRPr="0016235B">
              <w:rPr>
                <w:rFonts w:ascii="Candara" w:hAnsi="Candara" w:cs="Times New Roman"/>
              </w:rPr>
              <w:t xml:space="preserve">items </w:t>
            </w:r>
          </w:p>
          <w:p w14:paraId="6E976292" w14:textId="7E7395BF" w:rsidR="00630E43" w:rsidRPr="0016235B" w:rsidRDefault="00630E43" w:rsidP="00630E43">
            <w:pPr>
              <w:pStyle w:val="ListParagraph"/>
              <w:numPr>
                <w:ilvl w:val="0"/>
                <w:numId w:val="1"/>
              </w:numPr>
              <w:tabs>
                <w:tab w:val="left" w:pos="1050"/>
              </w:tabs>
              <w:jc w:val="both"/>
              <w:rPr>
                <w:rFonts w:ascii="Candara" w:hAnsi="Candara" w:cs="Times New Roman"/>
              </w:rPr>
            </w:pPr>
            <w:r w:rsidRPr="0016235B">
              <w:rPr>
                <w:rFonts w:ascii="Candara" w:hAnsi="Candara" w:cs="Times New Roman"/>
              </w:rPr>
              <w:t xml:space="preserve">Among equipment, </w:t>
            </w:r>
            <w:r w:rsidR="001151D3">
              <w:rPr>
                <w:rFonts w:ascii="Candara" w:hAnsi="Candara" w:cs="Times New Roman"/>
              </w:rPr>
              <w:t>a</w:t>
            </w:r>
            <w:r w:rsidRPr="0016235B">
              <w:rPr>
                <w:rFonts w:ascii="Candara" w:hAnsi="Candara" w:cs="Times New Roman"/>
              </w:rPr>
              <w:t>vailability of immunization cards/child health booklet was 69%, vaccine storage refrigerator was 87% and it was over 90% for vaccine carriers/cold box, immunization tally sheets, auto disable syringes, sharps containers, ice packs and immunization registers.</w:t>
            </w:r>
          </w:p>
          <w:p w14:paraId="40AD7672" w14:textId="77777777" w:rsidR="00630E43" w:rsidRPr="0016235B" w:rsidRDefault="00630E43" w:rsidP="00630E43">
            <w:pPr>
              <w:pStyle w:val="ListParagraph"/>
              <w:numPr>
                <w:ilvl w:val="0"/>
                <w:numId w:val="1"/>
              </w:numPr>
              <w:tabs>
                <w:tab w:val="left" w:pos="1050"/>
              </w:tabs>
              <w:jc w:val="both"/>
              <w:rPr>
                <w:rFonts w:ascii="Candara" w:hAnsi="Candara" w:cs="Times New Roman"/>
              </w:rPr>
            </w:pPr>
            <w:r w:rsidRPr="0016235B">
              <w:rPr>
                <w:rFonts w:ascii="Candara" w:hAnsi="Candara" w:cs="Times New Roman"/>
              </w:rPr>
              <w:t>91% of the facilities had trained staff in offering immunization services while 66% had EPI guidelines.</w:t>
            </w:r>
          </w:p>
          <w:p w14:paraId="59A5D38C" w14:textId="77777777" w:rsidR="00630E43" w:rsidRPr="0016235B" w:rsidRDefault="00630E43" w:rsidP="00630E43">
            <w:pPr>
              <w:pStyle w:val="ListParagraph"/>
              <w:numPr>
                <w:ilvl w:val="0"/>
                <w:numId w:val="1"/>
              </w:numPr>
              <w:tabs>
                <w:tab w:val="left" w:pos="1050"/>
              </w:tabs>
              <w:jc w:val="both"/>
              <w:rPr>
                <w:rFonts w:ascii="Candara" w:hAnsi="Candara" w:cs="Times New Roman"/>
              </w:rPr>
            </w:pPr>
            <w:r w:rsidRPr="0016235B">
              <w:rPr>
                <w:rFonts w:ascii="Candara" w:hAnsi="Candara" w:cs="Times New Roman"/>
              </w:rPr>
              <w:t>The mean availability of routine immunization vaccines among facilities that offered the service was 79% while 53% of the facilities assessed had all the vaccines available on the day of assessment.</w:t>
            </w:r>
          </w:p>
          <w:p w14:paraId="3E278DCB" w14:textId="49B17D6C" w:rsidR="00630E43" w:rsidRPr="0016235B" w:rsidRDefault="00630E43" w:rsidP="00630E43">
            <w:pPr>
              <w:pStyle w:val="ListParagraph"/>
              <w:numPr>
                <w:ilvl w:val="0"/>
                <w:numId w:val="1"/>
              </w:numPr>
              <w:jc w:val="both"/>
              <w:rPr>
                <w:rFonts w:ascii="Candara" w:hAnsi="Candara"/>
              </w:rPr>
            </w:pPr>
            <w:r w:rsidRPr="0016235B">
              <w:rPr>
                <w:rFonts w:ascii="Candara" w:hAnsi="Candara" w:cs="Times New Roman"/>
              </w:rPr>
              <w:t>Among facilities that offered routine immunization, more than 75% of them had immunization antigens available on the day of assessment.</w:t>
            </w:r>
          </w:p>
        </w:tc>
      </w:tr>
    </w:tbl>
    <w:p w14:paraId="0EF245FA" w14:textId="77777777" w:rsidR="00630E43" w:rsidRPr="0016235B" w:rsidRDefault="00630E43" w:rsidP="00BE2335">
      <w:pPr>
        <w:tabs>
          <w:tab w:val="left" w:pos="1050"/>
        </w:tabs>
        <w:jc w:val="both"/>
        <w:rPr>
          <w:rFonts w:ascii="Candara" w:hAnsi="Candara"/>
          <w:sz w:val="20"/>
          <w:szCs w:val="20"/>
        </w:rPr>
      </w:pPr>
    </w:p>
    <w:p w14:paraId="7F734508" w14:textId="77777777" w:rsidR="00630E43" w:rsidRPr="0016235B" w:rsidRDefault="00630E43" w:rsidP="00BE2335">
      <w:pPr>
        <w:tabs>
          <w:tab w:val="left" w:pos="1050"/>
        </w:tabs>
        <w:jc w:val="both"/>
        <w:rPr>
          <w:rFonts w:ascii="Candara" w:hAnsi="Candara"/>
          <w:sz w:val="20"/>
          <w:szCs w:val="20"/>
        </w:rPr>
      </w:pPr>
    </w:p>
    <w:p w14:paraId="16D998B8" w14:textId="77777777" w:rsidR="00024678" w:rsidRPr="0016235B" w:rsidRDefault="00024678">
      <w:pPr>
        <w:rPr>
          <w:rFonts w:ascii="Candara" w:eastAsiaTheme="majorEastAsia" w:hAnsi="Candara" w:cstheme="majorBidi"/>
          <w:b/>
          <w:color w:val="2F5496" w:themeColor="accent1" w:themeShade="BF"/>
          <w:sz w:val="28"/>
          <w:szCs w:val="28"/>
        </w:rPr>
      </w:pPr>
      <w:r w:rsidRPr="0016235B">
        <w:rPr>
          <w:rFonts w:ascii="Candara" w:hAnsi="Candara"/>
          <w:b/>
          <w:sz w:val="28"/>
          <w:szCs w:val="28"/>
        </w:rPr>
        <w:br w:type="page"/>
      </w:r>
    </w:p>
    <w:p w14:paraId="6657BE66" w14:textId="3A9F9310" w:rsidR="00BE2335" w:rsidRPr="0016235B" w:rsidRDefault="00BE2335" w:rsidP="005722F2">
      <w:pPr>
        <w:pStyle w:val="Heading2"/>
        <w:numPr>
          <w:ilvl w:val="1"/>
          <w:numId w:val="25"/>
        </w:numPr>
        <w:rPr>
          <w:rFonts w:ascii="Candara" w:hAnsi="Candara"/>
          <w:b/>
          <w:sz w:val="28"/>
          <w:szCs w:val="28"/>
        </w:rPr>
      </w:pPr>
      <w:bookmarkStart w:id="48" w:name="_Toc11494061"/>
      <w:r w:rsidRPr="0016235B">
        <w:rPr>
          <w:rFonts w:ascii="Candara" w:hAnsi="Candara"/>
          <w:b/>
          <w:sz w:val="28"/>
          <w:szCs w:val="28"/>
        </w:rPr>
        <w:t xml:space="preserve">Sexually Transmitted Infections </w:t>
      </w:r>
      <w:r w:rsidR="00024678" w:rsidRPr="0016235B">
        <w:rPr>
          <w:rFonts w:ascii="Candara" w:hAnsi="Candara"/>
          <w:b/>
          <w:sz w:val="28"/>
          <w:szCs w:val="28"/>
        </w:rPr>
        <w:t>(STIs)</w:t>
      </w:r>
      <w:bookmarkEnd w:id="48"/>
    </w:p>
    <w:p w14:paraId="375F5228" w14:textId="77777777" w:rsidR="00024678" w:rsidRPr="0016235B" w:rsidRDefault="00024678" w:rsidP="00BE2335">
      <w:pPr>
        <w:autoSpaceDE w:val="0"/>
        <w:autoSpaceDN w:val="0"/>
        <w:adjustRightInd w:val="0"/>
        <w:spacing w:after="0" w:line="240" w:lineRule="auto"/>
        <w:jc w:val="both"/>
        <w:rPr>
          <w:rFonts w:ascii="Candara" w:hAnsi="Candara"/>
          <w:sz w:val="20"/>
          <w:szCs w:val="20"/>
        </w:rPr>
      </w:pPr>
    </w:p>
    <w:p w14:paraId="4F303435" w14:textId="77777777" w:rsidR="00BE2335" w:rsidRPr="0016235B" w:rsidRDefault="00BE2335" w:rsidP="00BE2335">
      <w:pPr>
        <w:autoSpaceDE w:val="0"/>
        <w:autoSpaceDN w:val="0"/>
        <w:adjustRightInd w:val="0"/>
        <w:spacing w:after="0" w:line="240" w:lineRule="auto"/>
        <w:jc w:val="both"/>
        <w:rPr>
          <w:rFonts w:ascii="Candara" w:hAnsi="Candara"/>
          <w:sz w:val="24"/>
          <w:szCs w:val="24"/>
        </w:rPr>
      </w:pPr>
      <w:r w:rsidRPr="0016235B">
        <w:rPr>
          <w:rFonts w:ascii="Candara" w:hAnsi="Candara"/>
          <w:sz w:val="24"/>
          <w:szCs w:val="24"/>
        </w:rPr>
        <w:t>The type of services offered by facilities assessed were; STI services, STI diagnosis and STI treatment.</w:t>
      </w:r>
    </w:p>
    <w:p w14:paraId="074FB757" w14:textId="77777777" w:rsidR="00BE2335" w:rsidRPr="0016235B" w:rsidRDefault="00BE2335" w:rsidP="00BE2335">
      <w:pPr>
        <w:tabs>
          <w:tab w:val="left" w:pos="1050"/>
        </w:tabs>
        <w:jc w:val="both"/>
        <w:rPr>
          <w:rFonts w:ascii="Candara" w:hAnsi="Candara"/>
          <w:sz w:val="20"/>
          <w:szCs w:val="20"/>
        </w:rPr>
      </w:pPr>
    </w:p>
    <w:p w14:paraId="18392F2B" w14:textId="3B0AB066" w:rsidR="00BE2335" w:rsidRPr="0016235B" w:rsidRDefault="00BE2335" w:rsidP="00BE2335">
      <w:pPr>
        <w:spacing w:after="0" w:line="240" w:lineRule="auto"/>
        <w:jc w:val="both"/>
        <w:rPr>
          <w:rFonts w:ascii="Candara" w:hAnsi="Candara"/>
          <w:b/>
          <w:sz w:val="24"/>
          <w:szCs w:val="24"/>
        </w:rPr>
      </w:pPr>
      <w:r w:rsidRPr="0016235B">
        <w:rPr>
          <w:rFonts w:ascii="Candara" w:hAnsi="Candara"/>
          <w:b/>
          <w:sz w:val="24"/>
          <w:szCs w:val="24"/>
        </w:rPr>
        <w:t>Percentage of facilities offering STI services (N=16</w:t>
      </w:r>
      <w:r w:rsidR="00024678" w:rsidRPr="0016235B">
        <w:rPr>
          <w:rFonts w:ascii="Candara" w:hAnsi="Candara"/>
          <w:b/>
          <w:sz w:val="24"/>
          <w:szCs w:val="24"/>
        </w:rPr>
        <w:t>6</w:t>
      </w:r>
      <w:r w:rsidRPr="0016235B">
        <w:rPr>
          <w:rFonts w:ascii="Candara" w:hAnsi="Candara"/>
          <w:b/>
          <w:sz w:val="24"/>
          <w:szCs w:val="24"/>
        </w:rPr>
        <w:t>)</w:t>
      </w:r>
    </w:p>
    <w:p w14:paraId="64D33EB0" w14:textId="2EF31586" w:rsidR="00BE2335" w:rsidRPr="0016235B" w:rsidRDefault="00024678" w:rsidP="00BE2335">
      <w:pPr>
        <w:tabs>
          <w:tab w:val="left" w:pos="1050"/>
        </w:tabs>
        <w:jc w:val="both"/>
        <w:rPr>
          <w:rFonts w:ascii="Candara" w:hAnsi="Candara"/>
          <w:sz w:val="20"/>
          <w:szCs w:val="20"/>
        </w:rPr>
      </w:pPr>
      <w:r w:rsidRPr="0016235B">
        <w:rPr>
          <w:rFonts w:ascii="Candara" w:hAnsi="Candara"/>
          <w:noProof/>
        </w:rPr>
        <w:drawing>
          <wp:inline distT="0" distB="0" distL="0" distR="0" wp14:anchorId="3E8D760B" wp14:editId="60E5A131">
            <wp:extent cx="5762625" cy="2952750"/>
            <wp:effectExtent l="0" t="0" r="9525" b="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151D10D0" w14:textId="77777777" w:rsidR="00024678" w:rsidRPr="0016235B" w:rsidRDefault="00024678" w:rsidP="00BE2335">
      <w:pPr>
        <w:tabs>
          <w:tab w:val="left" w:pos="1050"/>
        </w:tabs>
        <w:jc w:val="both"/>
        <w:rPr>
          <w:rFonts w:ascii="Candara" w:hAnsi="Candara"/>
          <w:sz w:val="20"/>
          <w:szCs w:val="20"/>
        </w:rPr>
      </w:pPr>
    </w:p>
    <w:p w14:paraId="1718DD60" w14:textId="2ED0A37F" w:rsidR="00BE2335" w:rsidRPr="0016235B" w:rsidRDefault="00BE2335" w:rsidP="00BE2335">
      <w:pPr>
        <w:spacing w:after="0" w:line="240" w:lineRule="auto"/>
        <w:jc w:val="both"/>
        <w:rPr>
          <w:rFonts w:ascii="Candara" w:hAnsi="Candara"/>
          <w:b/>
          <w:sz w:val="24"/>
          <w:szCs w:val="24"/>
        </w:rPr>
      </w:pPr>
      <w:r w:rsidRPr="0016235B">
        <w:rPr>
          <w:rFonts w:ascii="Candara" w:hAnsi="Candara"/>
          <w:b/>
          <w:sz w:val="24"/>
          <w:szCs w:val="24"/>
        </w:rPr>
        <w:t xml:space="preserve">Percentage of facilities offering STI services by key </w:t>
      </w:r>
      <w:proofErr w:type="spellStart"/>
      <w:r w:rsidRPr="0016235B">
        <w:rPr>
          <w:rFonts w:ascii="Candara" w:hAnsi="Candara"/>
          <w:b/>
          <w:sz w:val="24"/>
          <w:szCs w:val="24"/>
        </w:rPr>
        <w:t>stratifiers</w:t>
      </w:r>
      <w:proofErr w:type="spellEnd"/>
      <w:r w:rsidRPr="0016235B">
        <w:rPr>
          <w:rFonts w:ascii="Candara" w:hAnsi="Candara"/>
          <w:b/>
          <w:sz w:val="24"/>
          <w:szCs w:val="24"/>
        </w:rPr>
        <w:t xml:space="preserve"> (N=16</w:t>
      </w:r>
      <w:r w:rsidR="00024678" w:rsidRPr="0016235B">
        <w:rPr>
          <w:rFonts w:ascii="Candara" w:hAnsi="Candara"/>
          <w:b/>
          <w:sz w:val="24"/>
          <w:szCs w:val="24"/>
        </w:rPr>
        <w:t>6</w:t>
      </w:r>
      <w:r w:rsidRPr="0016235B">
        <w:rPr>
          <w:rFonts w:ascii="Candara" w:hAnsi="Candara"/>
          <w:b/>
          <w:sz w:val="24"/>
          <w:szCs w:val="24"/>
        </w:rPr>
        <w:t>)</w:t>
      </w:r>
    </w:p>
    <w:p w14:paraId="2FF173E2" w14:textId="7CA3E23D" w:rsidR="00BE2335" w:rsidRPr="0016235B" w:rsidRDefault="00024678" w:rsidP="00BE2335">
      <w:pPr>
        <w:tabs>
          <w:tab w:val="left" w:pos="1050"/>
        </w:tabs>
        <w:jc w:val="both"/>
        <w:rPr>
          <w:rFonts w:ascii="Candara" w:hAnsi="Candara"/>
          <w:sz w:val="20"/>
          <w:szCs w:val="20"/>
        </w:rPr>
      </w:pPr>
      <w:r w:rsidRPr="0016235B">
        <w:rPr>
          <w:rFonts w:ascii="Candara" w:hAnsi="Candara"/>
          <w:noProof/>
        </w:rPr>
        <w:drawing>
          <wp:inline distT="0" distB="0" distL="0" distR="0" wp14:anchorId="362B2BA2" wp14:editId="362E9D90">
            <wp:extent cx="5943600" cy="3476625"/>
            <wp:effectExtent l="0" t="0" r="0" b="9525"/>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tbl>
      <w:tblPr>
        <w:tblStyle w:val="TableGrid"/>
        <w:tblW w:w="9409" w:type="dxa"/>
        <w:tblLook w:val="04A0" w:firstRow="1" w:lastRow="0" w:firstColumn="1" w:lastColumn="0" w:noHBand="0" w:noVBand="1"/>
      </w:tblPr>
      <w:tblGrid>
        <w:gridCol w:w="9409"/>
      </w:tblGrid>
      <w:tr w:rsidR="00630E43" w:rsidRPr="0016235B" w14:paraId="68A3C6DC" w14:textId="77777777" w:rsidTr="00FF2682">
        <w:trPr>
          <w:trHeight w:val="262"/>
        </w:trPr>
        <w:tc>
          <w:tcPr>
            <w:tcW w:w="9409" w:type="dxa"/>
          </w:tcPr>
          <w:p w14:paraId="4ECB4F08" w14:textId="77777777" w:rsidR="00630E43" w:rsidRPr="0016235B" w:rsidRDefault="00630E43" w:rsidP="00FF2682">
            <w:pPr>
              <w:rPr>
                <w:rFonts w:ascii="Candara" w:hAnsi="Candara"/>
                <w:b/>
              </w:rPr>
            </w:pPr>
            <w:r w:rsidRPr="0016235B">
              <w:rPr>
                <w:rFonts w:ascii="Candara" w:hAnsi="Candara"/>
                <w:b/>
              </w:rPr>
              <w:t>Key findings</w:t>
            </w:r>
          </w:p>
        </w:tc>
      </w:tr>
      <w:tr w:rsidR="00630E43" w:rsidRPr="0016235B" w14:paraId="61F51DF8" w14:textId="77777777" w:rsidTr="00FF2682">
        <w:trPr>
          <w:trHeight w:val="2663"/>
        </w:trPr>
        <w:tc>
          <w:tcPr>
            <w:tcW w:w="9409" w:type="dxa"/>
          </w:tcPr>
          <w:p w14:paraId="038142AB" w14:textId="6B19432F" w:rsidR="00630E43" w:rsidRPr="0016235B" w:rsidRDefault="00630E43" w:rsidP="00630E43">
            <w:pPr>
              <w:pStyle w:val="ListParagraph"/>
              <w:numPr>
                <w:ilvl w:val="0"/>
                <w:numId w:val="1"/>
              </w:numPr>
              <w:rPr>
                <w:rFonts w:ascii="Candara" w:hAnsi="Candara" w:cs="Times New Roman"/>
              </w:rPr>
            </w:pPr>
            <w:r w:rsidRPr="0016235B">
              <w:rPr>
                <w:rFonts w:ascii="Candara" w:hAnsi="Candara" w:cs="Times New Roman"/>
              </w:rPr>
              <w:t xml:space="preserve">85% of the facilities assessed offered </w:t>
            </w:r>
            <w:r w:rsidR="00114604" w:rsidRPr="0016235B">
              <w:rPr>
                <w:rFonts w:ascii="Candara" w:hAnsi="Candara" w:cs="Times New Roman"/>
              </w:rPr>
              <w:t>at least</w:t>
            </w:r>
            <w:r w:rsidRPr="0016235B">
              <w:rPr>
                <w:rFonts w:ascii="Candara" w:hAnsi="Candara" w:cs="Times New Roman"/>
              </w:rPr>
              <w:t xml:space="preserve"> one STI service.</w:t>
            </w:r>
          </w:p>
          <w:p w14:paraId="10E746EE" w14:textId="77777777" w:rsidR="00630E43" w:rsidRPr="0016235B" w:rsidRDefault="00630E43" w:rsidP="00630E43">
            <w:pPr>
              <w:pStyle w:val="ListParagraph"/>
              <w:numPr>
                <w:ilvl w:val="0"/>
                <w:numId w:val="1"/>
              </w:numPr>
              <w:rPr>
                <w:rFonts w:ascii="Candara" w:hAnsi="Candara" w:cs="Times New Roman"/>
              </w:rPr>
            </w:pPr>
            <w:r w:rsidRPr="0016235B">
              <w:rPr>
                <w:rFonts w:ascii="Candara" w:hAnsi="Candara" w:cs="Times New Roman"/>
              </w:rPr>
              <w:t>Of the facilities offering STI services, 96% were able to provide diagnostic services, 92% were able to treat.</w:t>
            </w:r>
          </w:p>
          <w:p w14:paraId="1398E3C4" w14:textId="1DA267EB" w:rsidR="00630E43" w:rsidRPr="0016235B" w:rsidRDefault="00630E43" w:rsidP="00630E43">
            <w:pPr>
              <w:pStyle w:val="ListParagraph"/>
              <w:numPr>
                <w:ilvl w:val="0"/>
                <w:numId w:val="1"/>
              </w:numPr>
              <w:rPr>
                <w:rFonts w:ascii="Candara" w:hAnsi="Candara" w:cs="Times New Roman"/>
              </w:rPr>
            </w:pPr>
            <w:r w:rsidRPr="0016235B">
              <w:rPr>
                <w:rFonts w:ascii="Candara" w:hAnsi="Candara" w:cs="Times New Roman"/>
              </w:rPr>
              <w:t xml:space="preserve">Of the facilities that offered STI services, 79% had guidelines and only 48% had </w:t>
            </w:r>
            <w:r w:rsidR="00A412AF" w:rsidRPr="0016235B">
              <w:rPr>
                <w:rFonts w:ascii="Candara" w:hAnsi="Candara" w:cs="Times New Roman"/>
              </w:rPr>
              <w:t>at least</w:t>
            </w:r>
            <w:r w:rsidRPr="0016235B">
              <w:rPr>
                <w:rFonts w:ascii="Candara" w:hAnsi="Candara" w:cs="Times New Roman"/>
              </w:rPr>
              <w:t xml:space="preserve"> one staff trained in STI diagnosis and treatment.</w:t>
            </w:r>
          </w:p>
          <w:p w14:paraId="6B669EBB" w14:textId="77777777" w:rsidR="00630E43" w:rsidRPr="0016235B" w:rsidRDefault="00630E43" w:rsidP="00630E43">
            <w:pPr>
              <w:pStyle w:val="ListParagraph"/>
              <w:numPr>
                <w:ilvl w:val="0"/>
                <w:numId w:val="1"/>
              </w:numPr>
              <w:rPr>
                <w:rFonts w:ascii="Candara" w:hAnsi="Candara" w:cs="Times New Roman"/>
              </w:rPr>
            </w:pPr>
            <w:r w:rsidRPr="0016235B">
              <w:rPr>
                <w:rFonts w:ascii="Candara" w:hAnsi="Candara" w:cs="Times New Roman"/>
              </w:rPr>
              <w:t>All regional hospital assessed offered STIs</w:t>
            </w:r>
          </w:p>
          <w:p w14:paraId="5AE4658A" w14:textId="77777777" w:rsidR="00630E43" w:rsidRPr="0016235B" w:rsidRDefault="00630E43" w:rsidP="00630E43">
            <w:pPr>
              <w:pStyle w:val="ListParagraph"/>
              <w:numPr>
                <w:ilvl w:val="0"/>
                <w:numId w:val="1"/>
              </w:numPr>
              <w:rPr>
                <w:rFonts w:ascii="Candara" w:hAnsi="Candara" w:cs="Times New Roman"/>
              </w:rPr>
            </w:pPr>
            <w:r w:rsidRPr="0016235B">
              <w:rPr>
                <w:rFonts w:ascii="Candara" w:hAnsi="Candara" w:cs="Times New Roman"/>
              </w:rPr>
              <w:t>There was significant difference in ability to diagnose and treat STIs by ownership and a similar trend was observed in facilities located in rural and urban areas.</w:t>
            </w:r>
          </w:p>
          <w:p w14:paraId="3BAFCA6A" w14:textId="2215CB8D" w:rsidR="00630E43" w:rsidRPr="0016235B" w:rsidRDefault="00630E43" w:rsidP="00CE2F33">
            <w:pPr>
              <w:pStyle w:val="ListParagraph"/>
              <w:numPr>
                <w:ilvl w:val="0"/>
                <w:numId w:val="1"/>
              </w:numPr>
              <w:jc w:val="both"/>
              <w:rPr>
                <w:rFonts w:ascii="Candara" w:hAnsi="Candara"/>
              </w:rPr>
            </w:pPr>
            <w:r w:rsidRPr="0016235B">
              <w:rPr>
                <w:rFonts w:ascii="Candara" w:hAnsi="Candara" w:cs="Times New Roman"/>
              </w:rPr>
              <w:t>Five regions (North East, Mid-Western, Karamoja, South west and Mid North) had 98% and above of their facilities able to provide STI services while Central</w:t>
            </w:r>
            <w:r w:rsidR="00114604" w:rsidRPr="0016235B">
              <w:rPr>
                <w:rFonts w:ascii="Candara" w:hAnsi="Candara" w:cs="Times New Roman"/>
              </w:rPr>
              <w:t xml:space="preserve"> 2</w:t>
            </w:r>
            <w:r w:rsidRPr="0016235B">
              <w:rPr>
                <w:rFonts w:ascii="Candara" w:hAnsi="Candara" w:cs="Times New Roman"/>
              </w:rPr>
              <w:t>, Kampala and Mid-East based facilities were below 80% and below</w:t>
            </w:r>
            <w:r w:rsidRPr="0016235B">
              <w:rPr>
                <w:rFonts w:ascii="Candara" w:hAnsi="Candara"/>
              </w:rPr>
              <w:t xml:space="preserve"> </w:t>
            </w:r>
          </w:p>
        </w:tc>
      </w:tr>
    </w:tbl>
    <w:p w14:paraId="1B413295" w14:textId="77777777" w:rsidR="00BE2335" w:rsidRPr="0016235B" w:rsidRDefault="00BE2335" w:rsidP="00BE2335">
      <w:pPr>
        <w:jc w:val="both"/>
        <w:rPr>
          <w:rFonts w:ascii="Candara" w:hAnsi="Candara"/>
          <w:b/>
          <w:sz w:val="20"/>
          <w:szCs w:val="20"/>
        </w:rPr>
      </w:pPr>
    </w:p>
    <w:p w14:paraId="2F3E3FEB" w14:textId="77777777" w:rsidR="00BE2335" w:rsidRPr="0016235B" w:rsidRDefault="00BE2335" w:rsidP="00BE2335">
      <w:pPr>
        <w:jc w:val="both"/>
        <w:rPr>
          <w:rFonts w:ascii="Candara" w:hAnsi="Candara"/>
          <w:b/>
          <w:sz w:val="20"/>
          <w:szCs w:val="20"/>
        </w:rPr>
      </w:pPr>
    </w:p>
    <w:p w14:paraId="600F56D9" w14:textId="77777777" w:rsidR="00BE2335" w:rsidRPr="0016235B" w:rsidRDefault="00BE2335" w:rsidP="005722F2">
      <w:pPr>
        <w:pStyle w:val="Heading2"/>
        <w:numPr>
          <w:ilvl w:val="1"/>
          <w:numId w:val="25"/>
        </w:numPr>
        <w:rPr>
          <w:rFonts w:ascii="Candara" w:hAnsi="Candara"/>
          <w:b/>
          <w:sz w:val="28"/>
          <w:szCs w:val="28"/>
        </w:rPr>
      </w:pPr>
      <w:bookmarkStart w:id="49" w:name="_Toc11494062"/>
      <w:r w:rsidRPr="0016235B">
        <w:rPr>
          <w:rFonts w:ascii="Candara" w:hAnsi="Candara"/>
          <w:b/>
          <w:sz w:val="28"/>
          <w:szCs w:val="28"/>
        </w:rPr>
        <w:t>Blood Transfusion</w:t>
      </w:r>
      <w:bookmarkEnd w:id="49"/>
    </w:p>
    <w:p w14:paraId="7CEAA82A" w14:textId="77777777" w:rsidR="00114604" w:rsidRPr="0016235B" w:rsidRDefault="00114604" w:rsidP="00BE2335">
      <w:pPr>
        <w:tabs>
          <w:tab w:val="left" w:pos="1290"/>
        </w:tabs>
        <w:jc w:val="both"/>
        <w:rPr>
          <w:rFonts w:ascii="Candara" w:hAnsi="Candara"/>
          <w:sz w:val="24"/>
          <w:szCs w:val="24"/>
          <w:highlight w:val="yellow"/>
        </w:rPr>
      </w:pPr>
    </w:p>
    <w:p w14:paraId="51425CF0" w14:textId="77777777" w:rsidR="00114604" w:rsidRPr="0016235B" w:rsidRDefault="00114604" w:rsidP="00BE2335">
      <w:pPr>
        <w:tabs>
          <w:tab w:val="left" w:pos="1290"/>
        </w:tabs>
        <w:jc w:val="both"/>
        <w:rPr>
          <w:rFonts w:ascii="Candara" w:hAnsi="Candara"/>
          <w:sz w:val="24"/>
          <w:szCs w:val="24"/>
          <w:highlight w:val="yellow"/>
        </w:rPr>
      </w:pPr>
    </w:p>
    <w:p w14:paraId="5C4E8C83" w14:textId="1BF79677" w:rsidR="00BE2335" w:rsidRPr="0016235B" w:rsidRDefault="00BE2335" w:rsidP="00BE2335">
      <w:pPr>
        <w:spacing w:after="0" w:line="240" w:lineRule="auto"/>
        <w:jc w:val="both"/>
        <w:rPr>
          <w:rFonts w:ascii="Candara" w:hAnsi="Candara"/>
          <w:b/>
          <w:sz w:val="24"/>
          <w:szCs w:val="24"/>
        </w:rPr>
      </w:pPr>
      <w:r w:rsidRPr="0016235B">
        <w:rPr>
          <w:rFonts w:ascii="Candara" w:hAnsi="Candara"/>
          <w:b/>
          <w:sz w:val="24"/>
          <w:szCs w:val="24"/>
        </w:rPr>
        <w:t xml:space="preserve">Percentage of facilities offering Blood transfusion services by key </w:t>
      </w:r>
      <w:proofErr w:type="spellStart"/>
      <w:r w:rsidRPr="0016235B">
        <w:rPr>
          <w:rFonts w:ascii="Candara" w:hAnsi="Candara"/>
          <w:b/>
          <w:sz w:val="24"/>
          <w:szCs w:val="24"/>
        </w:rPr>
        <w:t>stratifiers</w:t>
      </w:r>
      <w:proofErr w:type="spellEnd"/>
      <w:r w:rsidRPr="0016235B">
        <w:rPr>
          <w:rFonts w:ascii="Candara" w:hAnsi="Candara"/>
          <w:b/>
          <w:sz w:val="24"/>
          <w:szCs w:val="24"/>
        </w:rPr>
        <w:t xml:space="preserve"> (N=16</w:t>
      </w:r>
      <w:r w:rsidR="00114604" w:rsidRPr="0016235B">
        <w:rPr>
          <w:rFonts w:ascii="Candara" w:hAnsi="Candara"/>
          <w:b/>
          <w:sz w:val="24"/>
          <w:szCs w:val="24"/>
        </w:rPr>
        <w:t>6</w:t>
      </w:r>
      <w:r w:rsidRPr="0016235B">
        <w:rPr>
          <w:rFonts w:ascii="Candara" w:hAnsi="Candara"/>
          <w:b/>
          <w:sz w:val="24"/>
          <w:szCs w:val="24"/>
        </w:rPr>
        <w:t>)</w:t>
      </w:r>
    </w:p>
    <w:p w14:paraId="4C716118" w14:textId="59A98F89" w:rsidR="00BE2335" w:rsidRPr="0016235B" w:rsidRDefault="00114604" w:rsidP="00BE2335">
      <w:pPr>
        <w:tabs>
          <w:tab w:val="left" w:pos="1290"/>
        </w:tabs>
        <w:jc w:val="both"/>
        <w:rPr>
          <w:rFonts w:ascii="Candara" w:hAnsi="Candara"/>
          <w:sz w:val="20"/>
          <w:szCs w:val="20"/>
        </w:rPr>
      </w:pPr>
      <w:r w:rsidRPr="0016235B">
        <w:rPr>
          <w:rFonts w:ascii="Candara" w:hAnsi="Candara"/>
          <w:noProof/>
        </w:rPr>
        <w:drawing>
          <wp:inline distT="0" distB="0" distL="0" distR="0" wp14:anchorId="58F4653E" wp14:editId="3E342018">
            <wp:extent cx="6038850" cy="4181475"/>
            <wp:effectExtent l="0" t="0" r="0" b="9525"/>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14:paraId="34A6B7F3" w14:textId="77777777" w:rsidR="00BE2335" w:rsidRPr="0016235B" w:rsidRDefault="00BE2335" w:rsidP="00BE2335">
      <w:pPr>
        <w:spacing w:after="0" w:line="240" w:lineRule="auto"/>
        <w:jc w:val="both"/>
        <w:rPr>
          <w:rFonts w:ascii="Candara" w:hAnsi="Candara"/>
          <w:b/>
          <w:sz w:val="20"/>
          <w:szCs w:val="20"/>
        </w:rPr>
      </w:pPr>
    </w:p>
    <w:p w14:paraId="41D04AE8" w14:textId="1F20751B" w:rsidR="00BE2335" w:rsidRPr="0016235B" w:rsidRDefault="00BE2335" w:rsidP="00BE2335">
      <w:pPr>
        <w:spacing w:after="0" w:line="240" w:lineRule="auto"/>
        <w:jc w:val="both"/>
        <w:rPr>
          <w:rFonts w:ascii="Candara" w:eastAsia="Times New Roman" w:hAnsi="Candara" w:cs="Calibri"/>
          <w:b/>
          <w:bCs/>
          <w:color w:val="0070C0"/>
          <w:sz w:val="24"/>
          <w:szCs w:val="24"/>
        </w:rPr>
      </w:pPr>
      <w:r w:rsidRPr="0016235B">
        <w:rPr>
          <w:rFonts w:ascii="Candara" w:hAnsi="Candara"/>
          <w:b/>
          <w:sz w:val="24"/>
          <w:szCs w:val="24"/>
        </w:rPr>
        <w:t>Different aspects in place among facilities that provide blood transfusion services (N=22)</w:t>
      </w:r>
    </w:p>
    <w:p w14:paraId="6ED6782D" w14:textId="17BBF1AE" w:rsidR="00BE2335" w:rsidRPr="0016235B" w:rsidRDefault="00114604" w:rsidP="00BE2335">
      <w:pPr>
        <w:jc w:val="both"/>
        <w:rPr>
          <w:rFonts w:ascii="Candara" w:hAnsi="Candara"/>
          <w:sz w:val="20"/>
          <w:szCs w:val="20"/>
        </w:rPr>
      </w:pPr>
      <w:r w:rsidRPr="0016235B">
        <w:rPr>
          <w:rFonts w:ascii="Candara" w:hAnsi="Candara"/>
          <w:noProof/>
        </w:rPr>
        <w:drawing>
          <wp:inline distT="0" distB="0" distL="0" distR="0" wp14:anchorId="20336226" wp14:editId="619AF3AA">
            <wp:extent cx="5943600" cy="4045585"/>
            <wp:effectExtent l="0" t="0" r="0" b="12065"/>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14:paraId="34CD44A5" w14:textId="77777777" w:rsidR="00BE2335" w:rsidRPr="0016235B" w:rsidRDefault="00BE2335" w:rsidP="00BE2335">
      <w:pPr>
        <w:tabs>
          <w:tab w:val="left" w:pos="2385"/>
        </w:tabs>
        <w:jc w:val="both"/>
        <w:rPr>
          <w:rFonts w:ascii="Candara" w:hAnsi="Candara"/>
          <w:sz w:val="20"/>
          <w:szCs w:val="20"/>
        </w:rPr>
      </w:pPr>
    </w:p>
    <w:p w14:paraId="53F4AAE8" w14:textId="77777777" w:rsidR="00114604" w:rsidRPr="0016235B" w:rsidRDefault="00114604" w:rsidP="00BE2335">
      <w:pPr>
        <w:tabs>
          <w:tab w:val="left" w:pos="2385"/>
        </w:tabs>
        <w:jc w:val="both"/>
        <w:rPr>
          <w:rFonts w:ascii="Candara" w:hAnsi="Candara"/>
          <w:sz w:val="20"/>
          <w:szCs w:val="20"/>
        </w:rPr>
      </w:pPr>
    </w:p>
    <w:tbl>
      <w:tblPr>
        <w:tblStyle w:val="TableGrid"/>
        <w:tblW w:w="9409" w:type="dxa"/>
        <w:tblLook w:val="04A0" w:firstRow="1" w:lastRow="0" w:firstColumn="1" w:lastColumn="0" w:noHBand="0" w:noVBand="1"/>
      </w:tblPr>
      <w:tblGrid>
        <w:gridCol w:w="9409"/>
      </w:tblGrid>
      <w:tr w:rsidR="00114604" w:rsidRPr="0016235B" w14:paraId="11AA6671" w14:textId="77777777" w:rsidTr="00FF2682">
        <w:trPr>
          <w:trHeight w:val="262"/>
        </w:trPr>
        <w:tc>
          <w:tcPr>
            <w:tcW w:w="9409" w:type="dxa"/>
          </w:tcPr>
          <w:p w14:paraId="50A62A1C" w14:textId="77777777" w:rsidR="00114604" w:rsidRPr="0016235B" w:rsidRDefault="00114604" w:rsidP="00FF2682">
            <w:pPr>
              <w:rPr>
                <w:rFonts w:ascii="Candara" w:hAnsi="Candara"/>
                <w:b/>
              </w:rPr>
            </w:pPr>
            <w:r w:rsidRPr="0016235B">
              <w:rPr>
                <w:rFonts w:ascii="Candara" w:hAnsi="Candara"/>
                <w:b/>
              </w:rPr>
              <w:t>Key findings</w:t>
            </w:r>
          </w:p>
        </w:tc>
      </w:tr>
      <w:tr w:rsidR="00114604" w:rsidRPr="0016235B" w14:paraId="3E4FFE8E" w14:textId="77777777" w:rsidTr="00FF2682">
        <w:trPr>
          <w:trHeight w:val="2663"/>
        </w:trPr>
        <w:tc>
          <w:tcPr>
            <w:tcW w:w="9409" w:type="dxa"/>
          </w:tcPr>
          <w:p w14:paraId="07009F06" w14:textId="77777777" w:rsidR="00114604" w:rsidRPr="0016235B" w:rsidRDefault="00114604" w:rsidP="0019054C">
            <w:pPr>
              <w:pStyle w:val="ListParagraph"/>
              <w:numPr>
                <w:ilvl w:val="0"/>
                <w:numId w:val="1"/>
              </w:numPr>
              <w:jc w:val="both"/>
              <w:rPr>
                <w:rFonts w:ascii="Candara" w:hAnsi="Candara"/>
              </w:rPr>
            </w:pPr>
            <w:r w:rsidRPr="0016235B">
              <w:rPr>
                <w:rFonts w:ascii="Candara" w:hAnsi="Candara" w:cs="Times New Roman"/>
              </w:rPr>
              <w:t>13% of all health facilities assessed offered blood transfusion services in 201</w:t>
            </w:r>
            <w:r w:rsidR="0019054C" w:rsidRPr="0016235B">
              <w:rPr>
                <w:rFonts w:ascii="Candara" w:hAnsi="Candara" w:cs="Times New Roman"/>
              </w:rPr>
              <w:t>8</w:t>
            </w:r>
          </w:p>
          <w:p w14:paraId="2F1273B2" w14:textId="11C46546" w:rsidR="0019054C" w:rsidRPr="0016235B" w:rsidRDefault="0019054C" w:rsidP="0019054C">
            <w:pPr>
              <w:pStyle w:val="ListParagraph"/>
              <w:numPr>
                <w:ilvl w:val="0"/>
                <w:numId w:val="1"/>
              </w:numPr>
              <w:jc w:val="both"/>
              <w:rPr>
                <w:rFonts w:ascii="Candara" w:hAnsi="Candara"/>
              </w:rPr>
            </w:pPr>
            <w:r w:rsidRPr="0016235B">
              <w:rPr>
                <w:rFonts w:ascii="Candara" w:hAnsi="Candara" w:cs="Times New Roman"/>
              </w:rPr>
              <w:t xml:space="preserve">Only 86% of Regional </w:t>
            </w:r>
            <w:r w:rsidR="001151D3">
              <w:rPr>
                <w:rFonts w:ascii="Candara" w:hAnsi="Candara" w:cs="Times New Roman"/>
              </w:rPr>
              <w:t>H</w:t>
            </w:r>
            <w:r w:rsidRPr="0016235B">
              <w:rPr>
                <w:rFonts w:ascii="Candara" w:hAnsi="Candara" w:cs="Times New Roman"/>
              </w:rPr>
              <w:t>ospit</w:t>
            </w:r>
            <w:r w:rsidR="00504CDB" w:rsidRPr="0016235B">
              <w:rPr>
                <w:rFonts w:ascii="Candara" w:hAnsi="Candara" w:cs="Times New Roman"/>
              </w:rPr>
              <w:t>als offered blood transfusion ser</w:t>
            </w:r>
            <w:r w:rsidRPr="0016235B">
              <w:rPr>
                <w:rFonts w:ascii="Candara" w:hAnsi="Candara" w:cs="Times New Roman"/>
              </w:rPr>
              <w:t xml:space="preserve">vices, closely followed by General </w:t>
            </w:r>
            <w:r w:rsidR="001151D3">
              <w:rPr>
                <w:rFonts w:ascii="Candara" w:hAnsi="Candara" w:cs="Times New Roman"/>
              </w:rPr>
              <w:t>H</w:t>
            </w:r>
            <w:r w:rsidRPr="0016235B">
              <w:rPr>
                <w:rFonts w:ascii="Candara" w:hAnsi="Candara" w:cs="Times New Roman"/>
              </w:rPr>
              <w:t>ospitals at 74%</w:t>
            </w:r>
          </w:p>
          <w:p w14:paraId="12580AF9" w14:textId="77777777" w:rsidR="0019054C" w:rsidRPr="0016235B" w:rsidRDefault="0019054C" w:rsidP="0019054C">
            <w:pPr>
              <w:pStyle w:val="ListParagraph"/>
              <w:numPr>
                <w:ilvl w:val="0"/>
                <w:numId w:val="1"/>
              </w:numPr>
              <w:jc w:val="both"/>
              <w:rPr>
                <w:rFonts w:ascii="Candara" w:hAnsi="Candara"/>
              </w:rPr>
            </w:pPr>
            <w:r w:rsidRPr="0016235B">
              <w:rPr>
                <w:rFonts w:ascii="Candara" w:hAnsi="Candara" w:cs="Times New Roman"/>
              </w:rPr>
              <w:t>The percentage of facilities offering blood transfusion services between rural and urban based facilities</w:t>
            </w:r>
            <w:r w:rsidR="00AB2B37" w:rsidRPr="0016235B">
              <w:rPr>
                <w:rFonts w:ascii="Candara" w:hAnsi="Candara" w:cs="Times New Roman"/>
              </w:rPr>
              <w:t xml:space="preserve"> was the same at 13%</w:t>
            </w:r>
          </w:p>
          <w:p w14:paraId="566FCD3C" w14:textId="77777777" w:rsidR="00AB2B37" w:rsidRPr="0016235B" w:rsidRDefault="00AB2B37" w:rsidP="0019054C">
            <w:pPr>
              <w:pStyle w:val="ListParagraph"/>
              <w:numPr>
                <w:ilvl w:val="0"/>
                <w:numId w:val="1"/>
              </w:numPr>
              <w:jc w:val="both"/>
              <w:rPr>
                <w:rFonts w:ascii="Candara" w:hAnsi="Candara"/>
              </w:rPr>
            </w:pPr>
            <w:r w:rsidRPr="0016235B">
              <w:rPr>
                <w:rFonts w:ascii="Candara" w:hAnsi="Candara" w:cs="Times New Roman"/>
              </w:rPr>
              <w:t>Slightly more public (16%) than private (11%) facilities offered these services</w:t>
            </w:r>
          </w:p>
          <w:p w14:paraId="6D71B595" w14:textId="6A780787" w:rsidR="00AB2B37" w:rsidRPr="0016235B" w:rsidRDefault="00AB2B37" w:rsidP="0019054C">
            <w:pPr>
              <w:pStyle w:val="ListParagraph"/>
              <w:numPr>
                <w:ilvl w:val="0"/>
                <w:numId w:val="1"/>
              </w:numPr>
              <w:jc w:val="both"/>
              <w:rPr>
                <w:rFonts w:ascii="Candara" w:hAnsi="Candara"/>
              </w:rPr>
            </w:pPr>
            <w:r w:rsidRPr="0016235B">
              <w:rPr>
                <w:rFonts w:ascii="Candara" w:hAnsi="Candara" w:cs="Times New Roman"/>
              </w:rPr>
              <w:t>Just over a third (38%) of the facilities in Mid-West offer blood transfusion. For the remaining regions, less than 20% of the facilities offer blood transfusion services</w:t>
            </w:r>
          </w:p>
        </w:tc>
      </w:tr>
    </w:tbl>
    <w:p w14:paraId="46BD21E8" w14:textId="77777777" w:rsidR="00114604" w:rsidRPr="0016235B" w:rsidRDefault="00114604" w:rsidP="00BE2335">
      <w:pPr>
        <w:tabs>
          <w:tab w:val="left" w:pos="2385"/>
        </w:tabs>
        <w:jc w:val="both"/>
        <w:rPr>
          <w:rFonts w:ascii="Candara" w:hAnsi="Candara"/>
          <w:sz w:val="20"/>
          <w:szCs w:val="20"/>
        </w:rPr>
      </w:pPr>
    </w:p>
    <w:p w14:paraId="60CA8BFC" w14:textId="77777777" w:rsidR="00114604" w:rsidRPr="0016235B" w:rsidRDefault="00114604" w:rsidP="00BE2335">
      <w:pPr>
        <w:tabs>
          <w:tab w:val="left" w:pos="2385"/>
        </w:tabs>
        <w:jc w:val="both"/>
        <w:rPr>
          <w:rFonts w:ascii="Candara" w:hAnsi="Candara"/>
          <w:sz w:val="20"/>
          <w:szCs w:val="20"/>
        </w:rPr>
      </w:pPr>
    </w:p>
    <w:p w14:paraId="79C1A19E" w14:textId="77777777" w:rsidR="00BE2335" w:rsidRPr="0016235B" w:rsidRDefault="00BE2335" w:rsidP="00BE2335">
      <w:pPr>
        <w:tabs>
          <w:tab w:val="left" w:pos="2385"/>
        </w:tabs>
        <w:jc w:val="both"/>
        <w:rPr>
          <w:rFonts w:ascii="Candara" w:hAnsi="Candara"/>
          <w:sz w:val="20"/>
          <w:szCs w:val="20"/>
        </w:rPr>
      </w:pPr>
    </w:p>
    <w:p w14:paraId="0B7F8C6C" w14:textId="77777777" w:rsidR="00114604" w:rsidRPr="0016235B" w:rsidRDefault="00114604">
      <w:pPr>
        <w:rPr>
          <w:rFonts w:ascii="Candara" w:eastAsiaTheme="majorEastAsia" w:hAnsi="Candara" w:cstheme="majorBidi"/>
          <w:b/>
          <w:color w:val="2F5496" w:themeColor="accent1" w:themeShade="BF"/>
          <w:sz w:val="28"/>
          <w:szCs w:val="28"/>
        </w:rPr>
      </w:pPr>
      <w:r w:rsidRPr="0016235B">
        <w:rPr>
          <w:rFonts w:ascii="Candara" w:hAnsi="Candara"/>
          <w:b/>
          <w:sz w:val="28"/>
          <w:szCs w:val="28"/>
        </w:rPr>
        <w:br w:type="page"/>
      </w:r>
    </w:p>
    <w:p w14:paraId="670ADE44" w14:textId="4757B9CB" w:rsidR="001321C2" w:rsidRPr="0016235B" w:rsidRDefault="001321C2" w:rsidP="005722F2">
      <w:pPr>
        <w:pStyle w:val="Heading1"/>
        <w:numPr>
          <w:ilvl w:val="0"/>
          <w:numId w:val="25"/>
        </w:numPr>
        <w:rPr>
          <w:rFonts w:ascii="Candara" w:hAnsi="Candara"/>
          <w:b/>
          <w:sz w:val="28"/>
          <w:szCs w:val="28"/>
        </w:rPr>
      </w:pPr>
      <w:bookmarkStart w:id="50" w:name="_Toc11494063"/>
      <w:r w:rsidRPr="0016235B">
        <w:rPr>
          <w:rFonts w:ascii="Candara" w:hAnsi="Candara"/>
          <w:b/>
          <w:sz w:val="28"/>
          <w:szCs w:val="28"/>
        </w:rPr>
        <w:t>R</w:t>
      </w:r>
      <w:r w:rsidR="00D2350C" w:rsidRPr="0016235B">
        <w:rPr>
          <w:rFonts w:ascii="Candara" w:hAnsi="Candara"/>
          <w:b/>
          <w:sz w:val="28"/>
          <w:szCs w:val="28"/>
        </w:rPr>
        <w:t>ESULTS</w:t>
      </w:r>
      <w:r w:rsidRPr="0016235B">
        <w:rPr>
          <w:rFonts w:ascii="Candara" w:hAnsi="Candara"/>
          <w:b/>
          <w:sz w:val="28"/>
          <w:szCs w:val="28"/>
        </w:rPr>
        <w:t xml:space="preserve"> (Data Quality Review)</w:t>
      </w:r>
      <w:bookmarkEnd w:id="50"/>
    </w:p>
    <w:p w14:paraId="29FC231B" w14:textId="4AEE97A5" w:rsidR="007653D0" w:rsidRPr="0016235B" w:rsidRDefault="007653D0" w:rsidP="00095078">
      <w:pPr>
        <w:pStyle w:val="Heading2"/>
        <w:numPr>
          <w:ilvl w:val="1"/>
          <w:numId w:val="25"/>
        </w:numPr>
        <w:rPr>
          <w:rFonts w:ascii="Candara" w:hAnsi="Candara"/>
          <w:b/>
          <w:sz w:val="28"/>
          <w:szCs w:val="28"/>
        </w:rPr>
      </w:pPr>
      <w:bookmarkStart w:id="51" w:name="_Toc11494064"/>
      <w:r w:rsidRPr="0016235B">
        <w:rPr>
          <w:rFonts w:ascii="Candara" w:hAnsi="Candara"/>
          <w:b/>
          <w:sz w:val="28"/>
          <w:szCs w:val="28"/>
        </w:rPr>
        <w:t>Methodology</w:t>
      </w:r>
      <w:bookmarkEnd w:id="51"/>
      <w:r w:rsidRPr="0016235B">
        <w:rPr>
          <w:rFonts w:ascii="Candara" w:hAnsi="Candara"/>
          <w:b/>
          <w:sz w:val="28"/>
          <w:szCs w:val="28"/>
        </w:rPr>
        <w:t xml:space="preserve"> </w:t>
      </w:r>
    </w:p>
    <w:p w14:paraId="48DB98C0" w14:textId="77777777" w:rsidR="007653D0" w:rsidRPr="0016235B" w:rsidRDefault="007653D0" w:rsidP="007653D0">
      <w:pPr>
        <w:jc w:val="both"/>
        <w:rPr>
          <w:rFonts w:ascii="Candara" w:hAnsi="Candara"/>
          <w:sz w:val="24"/>
          <w:szCs w:val="24"/>
        </w:rPr>
      </w:pPr>
      <w:r w:rsidRPr="0016235B">
        <w:rPr>
          <w:rFonts w:ascii="Candara" w:hAnsi="Candara"/>
          <w:sz w:val="24"/>
          <w:szCs w:val="24"/>
        </w:rPr>
        <w:t>Data Quality Review (DQR) was conducted in all health facilities that were selected for the main Service Availability and Readiness Assessment (SARA). Due to the extended time lag between survey and report writing, the total number of facilities included in the final analysis reduced because some tools were lost/misplaced.</w:t>
      </w:r>
    </w:p>
    <w:tbl>
      <w:tblPr>
        <w:tblStyle w:val="TableGrid"/>
        <w:tblW w:w="8022" w:type="dxa"/>
        <w:tblInd w:w="445" w:type="dxa"/>
        <w:tblLook w:val="04A0" w:firstRow="1" w:lastRow="0" w:firstColumn="1" w:lastColumn="0" w:noHBand="0" w:noVBand="1"/>
      </w:tblPr>
      <w:tblGrid>
        <w:gridCol w:w="638"/>
        <w:gridCol w:w="2188"/>
        <w:gridCol w:w="1732"/>
        <w:gridCol w:w="1823"/>
        <w:gridCol w:w="1641"/>
      </w:tblGrid>
      <w:tr w:rsidR="007653D0" w:rsidRPr="0016235B" w14:paraId="62932C6C" w14:textId="77777777" w:rsidTr="007653D0">
        <w:trPr>
          <w:trHeight w:val="556"/>
        </w:trPr>
        <w:tc>
          <w:tcPr>
            <w:tcW w:w="638" w:type="dxa"/>
          </w:tcPr>
          <w:p w14:paraId="2B7FE4B4" w14:textId="77777777" w:rsidR="007653D0" w:rsidRPr="0016235B" w:rsidRDefault="007653D0" w:rsidP="007653D0">
            <w:pPr>
              <w:jc w:val="both"/>
              <w:rPr>
                <w:rFonts w:ascii="Candara" w:hAnsi="Candara"/>
                <w:sz w:val="24"/>
                <w:szCs w:val="24"/>
              </w:rPr>
            </w:pPr>
          </w:p>
        </w:tc>
        <w:tc>
          <w:tcPr>
            <w:tcW w:w="2188" w:type="dxa"/>
          </w:tcPr>
          <w:p w14:paraId="647596E5"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Level of care</w:t>
            </w:r>
          </w:p>
        </w:tc>
        <w:tc>
          <w:tcPr>
            <w:tcW w:w="1732" w:type="dxa"/>
          </w:tcPr>
          <w:p w14:paraId="0E2AB04D"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Total number of facilities</w:t>
            </w:r>
          </w:p>
        </w:tc>
        <w:tc>
          <w:tcPr>
            <w:tcW w:w="1823" w:type="dxa"/>
          </w:tcPr>
          <w:p w14:paraId="16BA3D09"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Facilities in sample</w:t>
            </w:r>
          </w:p>
        </w:tc>
        <w:tc>
          <w:tcPr>
            <w:tcW w:w="1641" w:type="dxa"/>
          </w:tcPr>
          <w:p w14:paraId="01C44B8E"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Final analyzed sample</w:t>
            </w:r>
          </w:p>
        </w:tc>
      </w:tr>
      <w:tr w:rsidR="007653D0" w:rsidRPr="0016235B" w14:paraId="47D25DFA" w14:textId="77777777" w:rsidTr="007653D0">
        <w:trPr>
          <w:trHeight w:val="340"/>
        </w:trPr>
        <w:tc>
          <w:tcPr>
            <w:tcW w:w="638" w:type="dxa"/>
          </w:tcPr>
          <w:p w14:paraId="431C2106" w14:textId="77777777" w:rsidR="007653D0" w:rsidRPr="0016235B" w:rsidRDefault="007653D0" w:rsidP="007653D0">
            <w:pPr>
              <w:jc w:val="both"/>
              <w:rPr>
                <w:rFonts w:ascii="Candara" w:hAnsi="Candara"/>
                <w:sz w:val="24"/>
                <w:szCs w:val="24"/>
              </w:rPr>
            </w:pPr>
            <w:r w:rsidRPr="0016235B">
              <w:rPr>
                <w:rFonts w:ascii="Candara" w:hAnsi="Candara"/>
                <w:sz w:val="24"/>
                <w:szCs w:val="24"/>
              </w:rPr>
              <w:t>1.</w:t>
            </w:r>
          </w:p>
        </w:tc>
        <w:tc>
          <w:tcPr>
            <w:tcW w:w="2188" w:type="dxa"/>
          </w:tcPr>
          <w:p w14:paraId="292BC257"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RRH</w:t>
            </w:r>
          </w:p>
        </w:tc>
        <w:tc>
          <w:tcPr>
            <w:tcW w:w="1732" w:type="dxa"/>
          </w:tcPr>
          <w:p w14:paraId="0ECB514F" w14:textId="77777777" w:rsidR="007653D0" w:rsidRPr="0016235B" w:rsidRDefault="007653D0" w:rsidP="007653D0">
            <w:pPr>
              <w:jc w:val="both"/>
              <w:rPr>
                <w:rFonts w:ascii="Candara" w:hAnsi="Candara"/>
                <w:sz w:val="24"/>
                <w:szCs w:val="24"/>
              </w:rPr>
            </w:pPr>
            <w:r w:rsidRPr="0016235B">
              <w:rPr>
                <w:rFonts w:ascii="Candara" w:hAnsi="Candara"/>
                <w:sz w:val="24"/>
                <w:szCs w:val="24"/>
              </w:rPr>
              <w:t>14</w:t>
            </w:r>
          </w:p>
        </w:tc>
        <w:tc>
          <w:tcPr>
            <w:tcW w:w="1823" w:type="dxa"/>
          </w:tcPr>
          <w:p w14:paraId="28FB050A" w14:textId="77777777" w:rsidR="007653D0" w:rsidRPr="0016235B" w:rsidRDefault="007653D0" w:rsidP="007653D0">
            <w:pPr>
              <w:jc w:val="both"/>
              <w:rPr>
                <w:rFonts w:ascii="Candara" w:hAnsi="Candara"/>
                <w:sz w:val="24"/>
                <w:szCs w:val="24"/>
              </w:rPr>
            </w:pPr>
            <w:r w:rsidRPr="0016235B">
              <w:rPr>
                <w:rFonts w:ascii="Candara" w:hAnsi="Candara"/>
                <w:sz w:val="24"/>
                <w:szCs w:val="24"/>
              </w:rPr>
              <w:t>14</w:t>
            </w:r>
          </w:p>
        </w:tc>
        <w:tc>
          <w:tcPr>
            <w:tcW w:w="1641" w:type="dxa"/>
          </w:tcPr>
          <w:p w14:paraId="40FD1318" w14:textId="77777777" w:rsidR="007653D0" w:rsidRPr="0016235B" w:rsidRDefault="007653D0" w:rsidP="007653D0">
            <w:pPr>
              <w:jc w:val="both"/>
              <w:rPr>
                <w:rFonts w:ascii="Candara" w:hAnsi="Candara"/>
                <w:sz w:val="24"/>
                <w:szCs w:val="24"/>
              </w:rPr>
            </w:pPr>
            <w:r w:rsidRPr="0016235B">
              <w:rPr>
                <w:rFonts w:ascii="Candara" w:hAnsi="Candara"/>
                <w:sz w:val="24"/>
                <w:szCs w:val="24"/>
              </w:rPr>
              <w:t>10</w:t>
            </w:r>
          </w:p>
        </w:tc>
      </w:tr>
      <w:tr w:rsidR="007653D0" w:rsidRPr="0016235B" w14:paraId="71354052" w14:textId="77777777" w:rsidTr="007653D0">
        <w:trPr>
          <w:trHeight w:val="329"/>
        </w:trPr>
        <w:tc>
          <w:tcPr>
            <w:tcW w:w="638" w:type="dxa"/>
          </w:tcPr>
          <w:p w14:paraId="6C6C2CFD" w14:textId="77777777" w:rsidR="007653D0" w:rsidRPr="0016235B" w:rsidRDefault="007653D0" w:rsidP="007653D0">
            <w:pPr>
              <w:jc w:val="both"/>
              <w:rPr>
                <w:rFonts w:ascii="Candara" w:hAnsi="Candara"/>
                <w:sz w:val="24"/>
                <w:szCs w:val="24"/>
              </w:rPr>
            </w:pPr>
            <w:r w:rsidRPr="0016235B">
              <w:rPr>
                <w:rFonts w:ascii="Candara" w:hAnsi="Candara"/>
                <w:sz w:val="24"/>
                <w:szCs w:val="24"/>
              </w:rPr>
              <w:t>2.</w:t>
            </w:r>
          </w:p>
        </w:tc>
        <w:tc>
          <w:tcPr>
            <w:tcW w:w="2188" w:type="dxa"/>
          </w:tcPr>
          <w:p w14:paraId="0D06D8B4"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General Hospitals</w:t>
            </w:r>
          </w:p>
        </w:tc>
        <w:tc>
          <w:tcPr>
            <w:tcW w:w="1732" w:type="dxa"/>
          </w:tcPr>
          <w:p w14:paraId="5AB42F5B" w14:textId="77777777" w:rsidR="007653D0" w:rsidRPr="0016235B" w:rsidRDefault="007653D0" w:rsidP="007653D0">
            <w:pPr>
              <w:jc w:val="both"/>
              <w:rPr>
                <w:rFonts w:ascii="Candara" w:hAnsi="Candara"/>
                <w:sz w:val="24"/>
                <w:szCs w:val="24"/>
              </w:rPr>
            </w:pPr>
            <w:r w:rsidRPr="0016235B">
              <w:rPr>
                <w:rFonts w:ascii="Candara" w:hAnsi="Candara"/>
                <w:sz w:val="24"/>
                <w:szCs w:val="24"/>
              </w:rPr>
              <w:t>153</w:t>
            </w:r>
          </w:p>
        </w:tc>
        <w:tc>
          <w:tcPr>
            <w:tcW w:w="1823" w:type="dxa"/>
          </w:tcPr>
          <w:p w14:paraId="4D899837" w14:textId="77777777" w:rsidR="007653D0" w:rsidRPr="0016235B" w:rsidRDefault="007653D0" w:rsidP="007653D0">
            <w:pPr>
              <w:jc w:val="both"/>
              <w:rPr>
                <w:rFonts w:ascii="Candara" w:hAnsi="Candara"/>
                <w:sz w:val="24"/>
                <w:szCs w:val="24"/>
              </w:rPr>
            </w:pPr>
            <w:r w:rsidRPr="0016235B">
              <w:rPr>
                <w:rFonts w:ascii="Candara" w:hAnsi="Candara"/>
                <w:sz w:val="24"/>
                <w:szCs w:val="24"/>
              </w:rPr>
              <w:t>36</w:t>
            </w:r>
          </w:p>
        </w:tc>
        <w:tc>
          <w:tcPr>
            <w:tcW w:w="1641" w:type="dxa"/>
          </w:tcPr>
          <w:p w14:paraId="32A14DDF" w14:textId="77777777" w:rsidR="007653D0" w:rsidRPr="0016235B" w:rsidRDefault="007653D0" w:rsidP="007653D0">
            <w:pPr>
              <w:jc w:val="both"/>
              <w:rPr>
                <w:rFonts w:ascii="Candara" w:hAnsi="Candara"/>
                <w:sz w:val="24"/>
                <w:szCs w:val="24"/>
              </w:rPr>
            </w:pPr>
            <w:r w:rsidRPr="0016235B">
              <w:rPr>
                <w:rFonts w:ascii="Candara" w:hAnsi="Candara"/>
                <w:sz w:val="24"/>
                <w:szCs w:val="24"/>
              </w:rPr>
              <w:t>27</w:t>
            </w:r>
          </w:p>
        </w:tc>
      </w:tr>
      <w:tr w:rsidR="007653D0" w:rsidRPr="0016235B" w14:paraId="3AD6CF00" w14:textId="77777777" w:rsidTr="007653D0">
        <w:trPr>
          <w:trHeight w:val="340"/>
        </w:trPr>
        <w:tc>
          <w:tcPr>
            <w:tcW w:w="638" w:type="dxa"/>
          </w:tcPr>
          <w:p w14:paraId="22F1819A" w14:textId="77777777" w:rsidR="007653D0" w:rsidRPr="0016235B" w:rsidRDefault="007653D0" w:rsidP="007653D0">
            <w:pPr>
              <w:jc w:val="both"/>
              <w:rPr>
                <w:rFonts w:ascii="Candara" w:hAnsi="Candara"/>
                <w:sz w:val="24"/>
                <w:szCs w:val="24"/>
              </w:rPr>
            </w:pPr>
            <w:r w:rsidRPr="0016235B">
              <w:rPr>
                <w:rFonts w:ascii="Candara" w:hAnsi="Candara"/>
                <w:sz w:val="24"/>
                <w:szCs w:val="24"/>
              </w:rPr>
              <w:t>3.</w:t>
            </w:r>
          </w:p>
        </w:tc>
        <w:tc>
          <w:tcPr>
            <w:tcW w:w="2188" w:type="dxa"/>
          </w:tcPr>
          <w:p w14:paraId="2605B582"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HC IVs</w:t>
            </w:r>
          </w:p>
        </w:tc>
        <w:tc>
          <w:tcPr>
            <w:tcW w:w="1732" w:type="dxa"/>
          </w:tcPr>
          <w:p w14:paraId="4410F76C" w14:textId="77777777" w:rsidR="007653D0" w:rsidRPr="0016235B" w:rsidRDefault="007653D0" w:rsidP="007653D0">
            <w:pPr>
              <w:jc w:val="both"/>
              <w:rPr>
                <w:rFonts w:ascii="Candara" w:hAnsi="Candara"/>
                <w:sz w:val="24"/>
                <w:szCs w:val="24"/>
              </w:rPr>
            </w:pPr>
            <w:r w:rsidRPr="0016235B">
              <w:rPr>
                <w:rFonts w:ascii="Candara" w:hAnsi="Candara"/>
                <w:sz w:val="24"/>
                <w:szCs w:val="24"/>
              </w:rPr>
              <w:t>215</w:t>
            </w:r>
          </w:p>
        </w:tc>
        <w:tc>
          <w:tcPr>
            <w:tcW w:w="1823" w:type="dxa"/>
          </w:tcPr>
          <w:p w14:paraId="59F0B0BE" w14:textId="77777777" w:rsidR="007653D0" w:rsidRPr="0016235B" w:rsidRDefault="007653D0" w:rsidP="007653D0">
            <w:pPr>
              <w:jc w:val="both"/>
              <w:rPr>
                <w:rFonts w:ascii="Candara" w:hAnsi="Candara"/>
                <w:sz w:val="24"/>
                <w:szCs w:val="24"/>
              </w:rPr>
            </w:pPr>
            <w:r w:rsidRPr="0016235B">
              <w:rPr>
                <w:rFonts w:ascii="Candara" w:hAnsi="Candara"/>
                <w:sz w:val="24"/>
                <w:szCs w:val="24"/>
              </w:rPr>
              <w:t>40</w:t>
            </w:r>
          </w:p>
        </w:tc>
        <w:tc>
          <w:tcPr>
            <w:tcW w:w="1641" w:type="dxa"/>
          </w:tcPr>
          <w:p w14:paraId="01B93FF2" w14:textId="77777777" w:rsidR="007653D0" w:rsidRPr="0016235B" w:rsidRDefault="007653D0" w:rsidP="007653D0">
            <w:pPr>
              <w:jc w:val="both"/>
              <w:rPr>
                <w:rFonts w:ascii="Candara" w:hAnsi="Candara"/>
                <w:sz w:val="24"/>
                <w:szCs w:val="24"/>
              </w:rPr>
            </w:pPr>
            <w:r w:rsidRPr="0016235B">
              <w:rPr>
                <w:rFonts w:ascii="Candara" w:hAnsi="Candara"/>
                <w:sz w:val="24"/>
                <w:szCs w:val="24"/>
              </w:rPr>
              <w:t>24</w:t>
            </w:r>
          </w:p>
        </w:tc>
      </w:tr>
      <w:tr w:rsidR="007653D0" w:rsidRPr="0016235B" w14:paraId="00C3CAD2" w14:textId="77777777" w:rsidTr="007653D0">
        <w:trPr>
          <w:trHeight w:val="340"/>
        </w:trPr>
        <w:tc>
          <w:tcPr>
            <w:tcW w:w="638" w:type="dxa"/>
          </w:tcPr>
          <w:p w14:paraId="5DD013A9" w14:textId="77777777" w:rsidR="007653D0" w:rsidRPr="0016235B" w:rsidRDefault="007653D0" w:rsidP="007653D0">
            <w:pPr>
              <w:jc w:val="both"/>
              <w:rPr>
                <w:rFonts w:ascii="Candara" w:hAnsi="Candara"/>
                <w:sz w:val="24"/>
                <w:szCs w:val="24"/>
              </w:rPr>
            </w:pPr>
            <w:r w:rsidRPr="0016235B">
              <w:rPr>
                <w:rFonts w:ascii="Candara" w:hAnsi="Candara"/>
                <w:sz w:val="24"/>
                <w:szCs w:val="24"/>
              </w:rPr>
              <w:t>4.</w:t>
            </w:r>
          </w:p>
        </w:tc>
        <w:tc>
          <w:tcPr>
            <w:tcW w:w="2188" w:type="dxa"/>
          </w:tcPr>
          <w:p w14:paraId="128F1104"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HC IIIs</w:t>
            </w:r>
          </w:p>
        </w:tc>
        <w:tc>
          <w:tcPr>
            <w:tcW w:w="1732" w:type="dxa"/>
          </w:tcPr>
          <w:p w14:paraId="158C7908" w14:textId="77777777" w:rsidR="007653D0" w:rsidRPr="0016235B" w:rsidRDefault="007653D0" w:rsidP="007653D0">
            <w:pPr>
              <w:jc w:val="both"/>
              <w:rPr>
                <w:rFonts w:ascii="Candara" w:hAnsi="Candara"/>
                <w:sz w:val="24"/>
                <w:szCs w:val="24"/>
              </w:rPr>
            </w:pPr>
            <w:r w:rsidRPr="0016235B">
              <w:rPr>
                <w:rFonts w:ascii="Candara" w:hAnsi="Candara"/>
                <w:sz w:val="24"/>
                <w:szCs w:val="24"/>
              </w:rPr>
              <w:t>1510</w:t>
            </w:r>
          </w:p>
        </w:tc>
        <w:tc>
          <w:tcPr>
            <w:tcW w:w="1823" w:type="dxa"/>
          </w:tcPr>
          <w:p w14:paraId="490BF2AF" w14:textId="77777777" w:rsidR="007653D0" w:rsidRPr="0016235B" w:rsidRDefault="007653D0" w:rsidP="007653D0">
            <w:pPr>
              <w:jc w:val="both"/>
              <w:rPr>
                <w:rFonts w:ascii="Candara" w:hAnsi="Candara"/>
                <w:sz w:val="24"/>
                <w:szCs w:val="24"/>
              </w:rPr>
            </w:pPr>
            <w:r w:rsidRPr="0016235B">
              <w:rPr>
                <w:rFonts w:ascii="Candara" w:hAnsi="Candara"/>
                <w:sz w:val="24"/>
                <w:szCs w:val="24"/>
              </w:rPr>
              <w:t>57</w:t>
            </w:r>
          </w:p>
        </w:tc>
        <w:tc>
          <w:tcPr>
            <w:tcW w:w="1641" w:type="dxa"/>
          </w:tcPr>
          <w:p w14:paraId="6A6A080D" w14:textId="77777777" w:rsidR="007653D0" w:rsidRPr="0016235B" w:rsidRDefault="007653D0" w:rsidP="007653D0">
            <w:pPr>
              <w:jc w:val="both"/>
              <w:rPr>
                <w:rFonts w:ascii="Candara" w:hAnsi="Candara"/>
                <w:sz w:val="24"/>
                <w:szCs w:val="24"/>
              </w:rPr>
            </w:pPr>
            <w:r w:rsidRPr="0016235B">
              <w:rPr>
                <w:rFonts w:ascii="Candara" w:hAnsi="Candara"/>
                <w:sz w:val="24"/>
                <w:szCs w:val="24"/>
              </w:rPr>
              <w:t>44</w:t>
            </w:r>
          </w:p>
        </w:tc>
      </w:tr>
      <w:tr w:rsidR="007653D0" w:rsidRPr="0016235B" w14:paraId="176FD769" w14:textId="77777777" w:rsidTr="007653D0">
        <w:trPr>
          <w:trHeight w:val="329"/>
        </w:trPr>
        <w:tc>
          <w:tcPr>
            <w:tcW w:w="638" w:type="dxa"/>
          </w:tcPr>
          <w:p w14:paraId="72488392" w14:textId="77777777" w:rsidR="007653D0" w:rsidRPr="0016235B" w:rsidRDefault="007653D0" w:rsidP="007653D0">
            <w:pPr>
              <w:jc w:val="both"/>
              <w:rPr>
                <w:rFonts w:ascii="Candara" w:hAnsi="Candara"/>
                <w:sz w:val="24"/>
                <w:szCs w:val="24"/>
              </w:rPr>
            </w:pPr>
            <w:r w:rsidRPr="0016235B">
              <w:rPr>
                <w:rFonts w:ascii="Candara" w:hAnsi="Candara"/>
                <w:sz w:val="24"/>
                <w:szCs w:val="24"/>
              </w:rPr>
              <w:t>5.</w:t>
            </w:r>
          </w:p>
        </w:tc>
        <w:tc>
          <w:tcPr>
            <w:tcW w:w="2188" w:type="dxa"/>
          </w:tcPr>
          <w:p w14:paraId="62EC7B76"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HC IIs</w:t>
            </w:r>
          </w:p>
        </w:tc>
        <w:tc>
          <w:tcPr>
            <w:tcW w:w="1732" w:type="dxa"/>
          </w:tcPr>
          <w:p w14:paraId="25495A2D" w14:textId="77777777" w:rsidR="007653D0" w:rsidRPr="0016235B" w:rsidRDefault="007653D0" w:rsidP="007653D0">
            <w:pPr>
              <w:jc w:val="both"/>
              <w:rPr>
                <w:rFonts w:ascii="Candara" w:hAnsi="Candara"/>
                <w:sz w:val="24"/>
                <w:szCs w:val="24"/>
              </w:rPr>
            </w:pPr>
            <w:r w:rsidRPr="0016235B">
              <w:rPr>
                <w:rFonts w:ascii="Candara" w:hAnsi="Candara"/>
                <w:sz w:val="24"/>
                <w:szCs w:val="24"/>
              </w:rPr>
              <w:t>4208</w:t>
            </w:r>
          </w:p>
        </w:tc>
        <w:tc>
          <w:tcPr>
            <w:tcW w:w="1823" w:type="dxa"/>
          </w:tcPr>
          <w:p w14:paraId="0A1530F1" w14:textId="77777777" w:rsidR="007653D0" w:rsidRPr="0016235B" w:rsidRDefault="007653D0" w:rsidP="007653D0">
            <w:pPr>
              <w:jc w:val="both"/>
              <w:rPr>
                <w:rFonts w:ascii="Candara" w:hAnsi="Candara"/>
                <w:sz w:val="24"/>
                <w:szCs w:val="24"/>
              </w:rPr>
            </w:pPr>
            <w:r w:rsidRPr="0016235B">
              <w:rPr>
                <w:rFonts w:ascii="Candara" w:hAnsi="Candara"/>
                <w:sz w:val="24"/>
                <w:szCs w:val="24"/>
              </w:rPr>
              <w:t>68</w:t>
            </w:r>
          </w:p>
        </w:tc>
        <w:tc>
          <w:tcPr>
            <w:tcW w:w="1641" w:type="dxa"/>
          </w:tcPr>
          <w:p w14:paraId="6A0330B1" w14:textId="77777777" w:rsidR="007653D0" w:rsidRPr="0016235B" w:rsidRDefault="007653D0" w:rsidP="007653D0">
            <w:pPr>
              <w:jc w:val="both"/>
              <w:rPr>
                <w:rFonts w:ascii="Candara" w:hAnsi="Candara"/>
                <w:sz w:val="24"/>
                <w:szCs w:val="24"/>
              </w:rPr>
            </w:pPr>
            <w:r w:rsidRPr="0016235B">
              <w:rPr>
                <w:rFonts w:ascii="Candara" w:hAnsi="Candara"/>
                <w:sz w:val="24"/>
                <w:szCs w:val="24"/>
              </w:rPr>
              <w:t>47</w:t>
            </w:r>
          </w:p>
        </w:tc>
      </w:tr>
      <w:tr w:rsidR="007653D0" w:rsidRPr="0016235B" w14:paraId="446C6ABE" w14:textId="77777777" w:rsidTr="007653D0">
        <w:trPr>
          <w:trHeight w:val="340"/>
        </w:trPr>
        <w:tc>
          <w:tcPr>
            <w:tcW w:w="638" w:type="dxa"/>
          </w:tcPr>
          <w:p w14:paraId="38A79A35" w14:textId="77777777" w:rsidR="007653D0" w:rsidRPr="0016235B" w:rsidRDefault="007653D0" w:rsidP="007653D0">
            <w:pPr>
              <w:jc w:val="both"/>
              <w:rPr>
                <w:rFonts w:ascii="Candara" w:hAnsi="Candara"/>
                <w:sz w:val="24"/>
                <w:szCs w:val="24"/>
              </w:rPr>
            </w:pPr>
          </w:p>
        </w:tc>
        <w:tc>
          <w:tcPr>
            <w:tcW w:w="2188" w:type="dxa"/>
          </w:tcPr>
          <w:p w14:paraId="10D3AC89"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Total</w:t>
            </w:r>
          </w:p>
        </w:tc>
        <w:tc>
          <w:tcPr>
            <w:tcW w:w="1732" w:type="dxa"/>
          </w:tcPr>
          <w:p w14:paraId="238ECFF9"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6100</w:t>
            </w:r>
          </w:p>
        </w:tc>
        <w:tc>
          <w:tcPr>
            <w:tcW w:w="1823" w:type="dxa"/>
          </w:tcPr>
          <w:p w14:paraId="38CD52E2" w14:textId="77777777" w:rsidR="007653D0" w:rsidRPr="0016235B" w:rsidRDefault="007653D0" w:rsidP="007653D0">
            <w:pPr>
              <w:jc w:val="both"/>
              <w:rPr>
                <w:rFonts w:ascii="Candara" w:hAnsi="Candara"/>
                <w:sz w:val="24"/>
                <w:szCs w:val="24"/>
              </w:rPr>
            </w:pPr>
            <w:r w:rsidRPr="0016235B">
              <w:rPr>
                <w:rFonts w:ascii="Candara" w:hAnsi="Candara"/>
                <w:b/>
                <w:bCs/>
                <w:sz w:val="24"/>
                <w:szCs w:val="24"/>
              </w:rPr>
              <w:t>215</w:t>
            </w:r>
          </w:p>
        </w:tc>
        <w:tc>
          <w:tcPr>
            <w:tcW w:w="1641" w:type="dxa"/>
          </w:tcPr>
          <w:p w14:paraId="37F17042"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152</w:t>
            </w:r>
          </w:p>
        </w:tc>
      </w:tr>
    </w:tbl>
    <w:p w14:paraId="0E47E1E7" w14:textId="77777777" w:rsidR="007653D0" w:rsidRPr="0016235B" w:rsidRDefault="007653D0" w:rsidP="007653D0">
      <w:pPr>
        <w:jc w:val="both"/>
        <w:rPr>
          <w:rFonts w:ascii="Candara" w:hAnsi="Candara"/>
          <w:sz w:val="24"/>
          <w:szCs w:val="24"/>
        </w:rPr>
      </w:pPr>
    </w:p>
    <w:p w14:paraId="76B21D74" w14:textId="77777777" w:rsidR="007653D0" w:rsidRPr="0016235B" w:rsidRDefault="007653D0" w:rsidP="007653D0">
      <w:pPr>
        <w:jc w:val="both"/>
        <w:rPr>
          <w:rFonts w:ascii="Candara" w:hAnsi="Candara"/>
          <w:sz w:val="24"/>
          <w:szCs w:val="24"/>
        </w:rPr>
      </w:pPr>
      <w:r w:rsidRPr="0016235B">
        <w:rPr>
          <w:rFonts w:ascii="Candara" w:hAnsi="Candara"/>
          <w:sz w:val="24"/>
          <w:szCs w:val="24"/>
        </w:rPr>
        <w:t>During the DQR, data quality at the facility and district levels and aspect of data system that affect the quality of data were assessed. This report presents results focusing on assessment at the health facility. Data for district level assessment is not reported due to the very small number of districts’ whose data was available by the time of writing the report.</w:t>
      </w:r>
    </w:p>
    <w:p w14:paraId="2A20D05F" w14:textId="77777777" w:rsidR="007653D0" w:rsidRPr="0016235B" w:rsidRDefault="007653D0" w:rsidP="007653D0">
      <w:pPr>
        <w:tabs>
          <w:tab w:val="left" w:pos="1170"/>
        </w:tabs>
        <w:jc w:val="both"/>
        <w:rPr>
          <w:rFonts w:ascii="Candara" w:hAnsi="Candara"/>
          <w:b/>
          <w:bCs/>
          <w:sz w:val="24"/>
          <w:szCs w:val="24"/>
        </w:rPr>
      </w:pPr>
      <w:bookmarkStart w:id="52" w:name="_Toc417998554"/>
      <w:bookmarkStart w:id="53" w:name="_Toc434561729"/>
      <w:bookmarkStart w:id="54" w:name="_Toc434562560"/>
      <w:bookmarkStart w:id="55" w:name="_Toc463180125"/>
    </w:p>
    <w:p w14:paraId="47E68F46" w14:textId="030FCCE8" w:rsidR="007653D0" w:rsidRPr="0016235B" w:rsidRDefault="007653D0" w:rsidP="00095078">
      <w:pPr>
        <w:pStyle w:val="Heading2"/>
        <w:numPr>
          <w:ilvl w:val="1"/>
          <w:numId w:val="25"/>
        </w:numPr>
        <w:rPr>
          <w:rFonts w:ascii="Candara" w:hAnsi="Candara"/>
          <w:b/>
          <w:sz w:val="28"/>
          <w:szCs w:val="28"/>
        </w:rPr>
      </w:pPr>
      <w:bookmarkStart w:id="56" w:name="_Toc11494065"/>
      <w:r w:rsidRPr="0016235B">
        <w:rPr>
          <w:rFonts w:ascii="Candara" w:hAnsi="Candara"/>
          <w:b/>
          <w:sz w:val="28"/>
          <w:szCs w:val="28"/>
        </w:rPr>
        <w:t>Results</w:t>
      </w:r>
      <w:bookmarkEnd w:id="56"/>
      <w:r w:rsidRPr="0016235B">
        <w:rPr>
          <w:rFonts w:ascii="Candara" w:hAnsi="Candara"/>
          <w:b/>
          <w:sz w:val="28"/>
          <w:szCs w:val="28"/>
        </w:rPr>
        <w:t xml:space="preserve"> </w:t>
      </w:r>
    </w:p>
    <w:p w14:paraId="73134432" w14:textId="277D9810" w:rsidR="007653D0" w:rsidRPr="0016235B" w:rsidRDefault="007653D0" w:rsidP="007653D0">
      <w:pPr>
        <w:pStyle w:val="Heading3"/>
        <w:rPr>
          <w:rFonts w:ascii="Candara" w:hAnsi="Candara"/>
          <w:b/>
        </w:rPr>
      </w:pPr>
      <w:bookmarkStart w:id="57" w:name="_Toc11494066"/>
      <w:r w:rsidRPr="0016235B">
        <w:rPr>
          <w:rFonts w:ascii="Candara" w:hAnsi="Candara"/>
          <w:b/>
        </w:rPr>
        <w:t>4.21</w:t>
      </w:r>
      <w:r w:rsidR="00095078" w:rsidRPr="0016235B">
        <w:rPr>
          <w:rFonts w:ascii="Candara" w:hAnsi="Candara"/>
          <w:b/>
        </w:rPr>
        <w:tab/>
      </w:r>
      <w:r w:rsidRPr="0016235B">
        <w:rPr>
          <w:rFonts w:ascii="Candara" w:hAnsi="Candara"/>
          <w:b/>
        </w:rPr>
        <w:t>Facility level data verification</w:t>
      </w:r>
      <w:bookmarkEnd w:id="57"/>
      <w:r w:rsidRPr="0016235B">
        <w:rPr>
          <w:rFonts w:ascii="Candara" w:hAnsi="Candara"/>
          <w:b/>
        </w:rPr>
        <w:t xml:space="preserve"> </w:t>
      </w:r>
      <w:bookmarkEnd w:id="52"/>
      <w:bookmarkEnd w:id="53"/>
      <w:bookmarkEnd w:id="54"/>
      <w:bookmarkEnd w:id="55"/>
    </w:p>
    <w:p w14:paraId="452C3537" w14:textId="77777777" w:rsidR="007653D0" w:rsidRPr="0016235B" w:rsidRDefault="007653D0" w:rsidP="007653D0">
      <w:pPr>
        <w:tabs>
          <w:tab w:val="left" w:pos="1170"/>
        </w:tabs>
        <w:spacing w:after="0"/>
        <w:jc w:val="both"/>
        <w:rPr>
          <w:rFonts w:ascii="Candara" w:hAnsi="Candara"/>
          <w:sz w:val="24"/>
          <w:szCs w:val="24"/>
        </w:rPr>
      </w:pPr>
      <w:r w:rsidRPr="0016235B">
        <w:rPr>
          <w:rFonts w:ascii="Candara" w:hAnsi="Candara"/>
          <w:sz w:val="24"/>
          <w:szCs w:val="24"/>
        </w:rPr>
        <w:t>Facility level data verification assessed the availability of specific services provided at the facility level followed by verification of source documents and reports. The tool further probed into listing out the discrepancies observed, if any between events in the source document and those reported to the national HMIS system for the following core indicators. Verification Factor less than 1 implies over reporting of events in the HMIS (may also be missing forms and hence events could not be verified while verification Factor higher than 1 implies under reporting of events in the HMIS for the reporting period.</w:t>
      </w:r>
    </w:p>
    <w:p w14:paraId="4C024CFB" w14:textId="77777777" w:rsidR="007653D0" w:rsidRPr="0016235B" w:rsidRDefault="007653D0" w:rsidP="007653D0">
      <w:pPr>
        <w:jc w:val="both"/>
        <w:rPr>
          <w:rFonts w:ascii="Candara" w:hAnsi="Candara"/>
          <w:sz w:val="24"/>
          <w:szCs w:val="24"/>
        </w:rPr>
      </w:pPr>
    </w:p>
    <w:p w14:paraId="0F501666" w14:textId="77777777" w:rsidR="007653D0" w:rsidRPr="0016235B" w:rsidRDefault="007653D0" w:rsidP="005722F2">
      <w:pPr>
        <w:pStyle w:val="ListParagraph"/>
        <w:numPr>
          <w:ilvl w:val="0"/>
          <w:numId w:val="27"/>
        </w:numPr>
        <w:jc w:val="both"/>
        <w:rPr>
          <w:rFonts w:ascii="Candara" w:hAnsi="Candara"/>
          <w:sz w:val="24"/>
          <w:szCs w:val="24"/>
        </w:rPr>
      </w:pPr>
      <w:r w:rsidRPr="0016235B">
        <w:rPr>
          <w:rFonts w:ascii="Candara" w:hAnsi="Candara"/>
          <w:sz w:val="24"/>
          <w:szCs w:val="24"/>
        </w:rPr>
        <w:t>Maternal health: Antenatal care first visit</w:t>
      </w:r>
    </w:p>
    <w:p w14:paraId="0E77F909" w14:textId="77777777" w:rsidR="007653D0" w:rsidRPr="0016235B" w:rsidRDefault="007653D0" w:rsidP="005722F2">
      <w:pPr>
        <w:pStyle w:val="ListParagraph"/>
        <w:numPr>
          <w:ilvl w:val="0"/>
          <w:numId w:val="27"/>
        </w:numPr>
        <w:jc w:val="both"/>
        <w:rPr>
          <w:rFonts w:ascii="Candara" w:hAnsi="Candara"/>
          <w:sz w:val="24"/>
          <w:szCs w:val="24"/>
        </w:rPr>
      </w:pPr>
      <w:r w:rsidRPr="0016235B">
        <w:rPr>
          <w:rFonts w:ascii="Candara" w:hAnsi="Candara"/>
          <w:sz w:val="24"/>
          <w:szCs w:val="24"/>
        </w:rPr>
        <w:t>Immunization: Pentavalent/DTP third doses in children under one year</w:t>
      </w:r>
    </w:p>
    <w:p w14:paraId="2B9987AB" w14:textId="77777777" w:rsidR="007653D0" w:rsidRPr="0016235B" w:rsidRDefault="007653D0" w:rsidP="005722F2">
      <w:pPr>
        <w:pStyle w:val="ListParagraph"/>
        <w:numPr>
          <w:ilvl w:val="0"/>
          <w:numId w:val="27"/>
        </w:numPr>
        <w:jc w:val="both"/>
        <w:rPr>
          <w:rFonts w:ascii="Candara" w:hAnsi="Candara"/>
          <w:sz w:val="24"/>
          <w:szCs w:val="24"/>
        </w:rPr>
      </w:pPr>
      <w:r w:rsidRPr="0016235B">
        <w:rPr>
          <w:rFonts w:ascii="Candara" w:hAnsi="Candara"/>
          <w:sz w:val="24"/>
          <w:szCs w:val="24"/>
        </w:rPr>
        <w:t>HIV indicators: ART coverage</w:t>
      </w:r>
    </w:p>
    <w:p w14:paraId="3BF663D8" w14:textId="77777777" w:rsidR="007653D0" w:rsidRPr="0016235B" w:rsidRDefault="007653D0" w:rsidP="005722F2">
      <w:pPr>
        <w:pStyle w:val="ListParagraph"/>
        <w:numPr>
          <w:ilvl w:val="0"/>
          <w:numId w:val="27"/>
        </w:numPr>
        <w:jc w:val="both"/>
        <w:rPr>
          <w:rFonts w:ascii="Candara" w:hAnsi="Candara"/>
          <w:sz w:val="24"/>
          <w:szCs w:val="24"/>
        </w:rPr>
      </w:pPr>
      <w:r w:rsidRPr="0016235B">
        <w:rPr>
          <w:rFonts w:ascii="Candara" w:hAnsi="Candara"/>
          <w:sz w:val="24"/>
          <w:szCs w:val="24"/>
        </w:rPr>
        <w:t>Tuberculosis: TB cases</w:t>
      </w:r>
    </w:p>
    <w:p w14:paraId="76611C33" w14:textId="77777777" w:rsidR="007653D0" w:rsidRPr="0016235B" w:rsidRDefault="007653D0" w:rsidP="005722F2">
      <w:pPr>
        <w:pStyle w:val="ListParagraph"/>
        <w:numPr>
          <w:ilvl w:val="0"/>
          <w:numId w:val="27"/>
        </w:numPr>
        <w:jc w:val="both"/>
        <w:rPr>
          <w:rFonts w:ascii="Candara" w:hAnsi="Candara"/>
          <w:sz w:val="24"/>
          <w:szCs w:val="24"/>
        </w:rPr>
      </w:pPr>
      <w:r w:rsidRPr="0016235B">
        <w:rPr>
          <w:rFonts w:ascii="Candara" w:hAnsi="Candara"/>
          <w:sz w:val="24"/>
          <w:szCs w:val="24"/>
        </w:rPr>
        <w:t xml:space="preserve">Malaria: Confirmed malaria cases </w:t>
      </w:r>
    </w:p>
    <w:p w14:paraId="0683BC5A" w14:textId="77777777" w:rsidR="007653D0" w:rsidRPr="0016235B" w:rsidRDefault="007653D0" w:rsidP="007653D0">
      <w:pPr>
        <w:jc w:val="both"/>
        <w:rPr>
          <w:rFonts w:ascii="Candara" w:hAnsi="Candara"/>
          <w:b/>
          <w:bCs/>
          <w:sz w:val="24"/>
          <w:szCs w:val="24"/>
        </w:rPr>
      </w:pPr>
      <w:bookmarkStart w:id="58" w:name="_Toc417998555"/>
      <w:bookmarkStart w:id="59" w:name="_Toc434561730"/>
      <w:bookmarkStart w:id="60" w:name="_Toc434562561"/>
      <w:bookmarkStart w:id="61" w:name="_Toc463180126"/>
    </w:p>
    <w:bookmarkEnd w:id="58"/>
    <w:bookmarkEnd w:id="59"/>
    <w:bookmarkEnd w:id="60"/>
    <w:bookmarkEnd w:id="61"/>
    <w:p w14:paraId="06DD8ADC" w14:textId="77777777" w:rsidR="007653D0" w:rsidRPr="0016235B" w:rsidRDefault="007653D0" w:rsidP="007653D0">
      <w:pPr>
        <w:tabs>
          <w:tab w:val="left" w:pos="1170"/>
        </w:tabs>
        <w:jc w:val="both"/>
        <w:rPr>
          <w:rFonts w:ascii="Candara" w:hAnsi="Candara"/>
          <w:b/>
          <w:bCs/>
          <w:sz w:val="24"/>
          <w:szCs w:val="24"/>
        </w:rPr>
      </w:pPr>
    </w:p>
    <w:p w14:paraId="7C24DC4E" w14:textId="77777777" w:rsidR="007653D0" w:rsidRPr="0016235B" w:rsidRDefault="007653D0" w:rsidP="007653D0">
      <w:pPr>
        <w:rPr>
          <w:rFonts w:ascii="Candara" w:hAnsi="Candara"/>
          <w:b/>
          <w:bCs/>
          <w:sz w:val="24"/>
          <w:szCs w:val="24"/>
        </w:rPr>
      </w:pPr>
      <w:r w:rsidRPr="0016235B">
        <w:rPr>
          <w:rFonts w:ascii="Candara" w:hAnsi="Candara"/>
          <w:b/>
          <w:bCs/>
          <w:sz w:val="24"/>
          <w:szCs w:val="24"/>
        </w:rPr>
        <w:br w:type="page"/>
        <w:t>Figure xxx: Percentage of facilities reporting on services and availability of source tools &amp; reporting forms (National)</w:t>
      </w:r>
    </w:p>
    <w:p w14:paraId="2D2499FE" w14:textId="77777777" w:rsidR="007653D0" w:rsidRPr="0016235B" w:rsidRDefault="007653D0" w:rsidP="007653D0">
      <w:pPr>
        <w:rPr>
          <w:rFonts w:ascii="Candara" w:hAnsi="Candara"/>
          <w:b/>
          <w:bCs/>
          <w:sz w:val="24"/>
          <w:szCs w:val="24"/>
        </w:rPr>
      </w:pPr>
      <w:r w:rsidRPr="0016235B">
        <w:rPr>
          <w:rFonts w:ascii="Candara" w:hAnsi="Candara"/>
          <w:noProof/>
          <w:sz w:val="24"/>
          <w:szCs w:val="24"/>
        </w:rPr>
        <w:drawing>
          <wp:inline distT="0" distB="0" distL="0" distR="0" wp14:anchorId="4991A4A1" wp14:editId="7365A015">
            <wp:extent cx="5705475" cy="3533775"/>
            <wp:effectExtent l="0" t="0" r="9525" b="9525"/>
            <wp:docPr id="26" name="Chart 26">
              <a:extLst xmlns:a="http://schemas.openxmlformats.org/drawingml/2006/main">
                <a:ext uri="{FF2B5EF4-FFF2-40B4-BE49-F238E27FC236}">
                  <a16:creationId xmlns:a16="http://schemas.microsoft.com/office/drawing/2014/main" id="{6F431429-D8F3-44A7-B4B1-8EDB6CEEF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70347046" w14:textId="77777777" w:rsidR="007653D0" w:rsidRPr="0016235B" w:rsidRDefault="007653D0" w:rsidP="005722F2">
      <w:pPr>
        <w:pStyle w:val="ListParagraph"/>
        <w:numPr>
          <w:ilvl w:val="0"/>
          <w:numId w:val="29"/>
        </w:numPr>
        <w:rPr>
          <w:rFonts w:ascii="Candara" w:hAnsi="Candara"/>
          <w:sz w:val="24"/>
          <w:szCs w:val="24"/>
        </w:rPr>
      </w:pPr>
      <w:r w:rsidRPr="0016235B">
        <w:rPr>
          <w:rFonts w:ascii="Candara" w:hAnsi="Candara"/>
          <w:sz w:val="24"/>
          <w:szCs w:val="24"/>
        </w:rPr>
        <w:t>Antenatal and malaria services were 100% reported while TB was the least reported at 93%</w:t>
      </w:r>
    </w:p>
    <w:p w14:paraId="26C426D1" w14:textId="77777777" w:rsidR="007653D0" w:rsidRPr="0016235B" w:rsidRDefault="007653D0" w:rsidP="005722F2">
      <w:pPr>
        <w:pStyle w:val="ListParagraph"/>
        <w:numPr>
          <w:ilvl w:val="0"/>
          <w:numId w:val="29"/>
        </w:numPr>
        <w:rPr>
          <w:rFonts w:ascii="Candara" w:hAnsi="Candara"/>
          <w:sz w:val="24"/>
          <w:szCs w:val="24"/>
        </w:rPr>
      </w:pPr>
      <w:r w:rsidRPr="0016235B">
        <w:rPr>
          <w:rFonts w:ascii="Candara" w:hAnsi="Candara"/>
          <w:sz w:val="24"/>
          <w:szCs w:val="24"/>
        </w:rPr>
        <w:t xml:space="preserve">Data collection tools for TB was available in all (100%) of the facilities offering TB services, while 97% of the facilities offering antenatal, child immunization and malaria services had the tools available. ART was the least with 94% </w:t>
      </w:r>
    </w:p>
    <w:p w14:paraId="4E11DD4B" w14:textId="77777777" w:rsidR="007653D0" w:rsidRPr="0016235B" w:rsidRDefault="007653D0" w:rsidP="005722F2">
      <w:pPr>
        <w:pStyle w:val="ListParagraph"/>
        <w:numPr>
          <w:ilvl w:val="0"/>
          <w:numId w:val="29"/>
        </w:numPr>
        <w:rPr>
          <w:rFonts w:ascii="Candara" w:hAnsi="Candara"/>
          <w:sz w:val="24"/>
          <w:szCs w:val="24"/>
        </w:rPr>
      </w:pPr>
      <w:r w:rsidRPr="0016235B">
        <w:rPr>
          <w:rFonts w:ascii="Candara" w:hAnsi="Candara"/>
          <w:sz w:val="24"/>
          <w:szCs w:val="24"/>
        </w:rPr>
        <w:t xml:space="preserve">98% of the facilities had antenatal and child </w:t>
      </w:r>
      <w:proofErr w:type="spellStart"/>
      <w:r w:rsidRPr="0016235B">
        <w:rPr>
          <w:rFonts w:ascii="Candara" w:hAnsi="Candara"/>
          <w:sz w:val="24"/>
          <w:szCs w:val="24"/>
        </w:rPr>
        <w:t>immunisation</w:t>
      </w:r>
      <w:proofErr w:type="spellEnd"/>
      <w:r w:rsidRPr="0016235B">
        <w:rPr>
          <w:rFonts w:ascii="Candara" w:hAnsi="Candara"/>
          <w:sz w:val="24"/>
          <w:szCs w:val="24"/>
        </w:rPr>
        <w:t xml:space="preserve"> reports at the facility with that of TB being the least at 87%.</w:t>
      </w:r>
    </w:p>
    <w:p w14:paraId="1E635705" w14:textId="77777777" w:rsidR="007653D0" w:rsidRPr="0016235B" w:rsidRDefault="007653D0" w:rsidP="007653D0">
      <w:pPr>
        <w:jc w:val="both"/>
        <w:rPr>
          <w:rFonts w:ascii="Candara" w:hAnsi="Candara"/>
          <w:b/>
          <w:bCs/>
          <w:sz w:val="24"/>
          <w:szCs w:val="24"/>
        </w:rPr>
      </w:pPr>
    </w:p>
    <w:p w14:paraId="640E2D50" w14:textId="77777777" w:rsidR="007653D0" w:rsidRPr="0016235B" w:rsidRDefault="007653D0" w:rsidP="007653D0">
      <w:pPr>
        <w:jc w:val="both"/>
        <w:rPr>
          <w:rFonts w:ascii="Candara" w:hAnsi="Candara"/>
          <w:b/>
          <w:bCs/>
          <w:sz w:val="24"/>
          <w:szCs w:val="24"/>
        </w:rPr>
      </w:pPr>
    </w:p>
    <w:p w14:paraId="0EED2F61" w14:textId="77777777" w:rsidR="007653D0" w:rsidRPr="0016235B" w:rsidRDefault="007653D0" w:rsidP="007653D0">
      <w:pPr>
        <w:jc w:val="both"/>
        <w:rPr>
          <w:rFonts w:ascii="Candara" w:hAnsi="Candara"/>
          <w:b/>
          <w:bCs/>
          <w:sz w:val="24"/>
          <w:szCs w:val="24"/>
        </w:rPr>
      </w:pPr>
    </w:p>
    <w:p w14:paraId="3C3F637F" w14:textId="77777777" w:rsidR="007653D0" w:rsidRPr="0016235B" w:rsidRDefault="007653D0" w:rsidP="007653D0">
      <w:pPr>
        <w:jc w:val="both"/>
        <w:rPr>
          <w:rFonts w:ascii="Candara" w:hAnsi="Candara"/>
          <w:b/>
          <w:bCs/>
          <w:sz w:val="24"/>
          <w:szCs w:val="24"/>
        </w:rPr>
      </w:pPr>
    </w:p>
    <w:p w14:paraId="66D8CF02" w14:textId="77777777" w:rsidR="007653D0" w:rsidRPr="0016235B" w:rsidRDefault="007653D0" w:rsidP="007653D0">
      <w:pPr>
        <w:jc w:val="both"/>
        <w:rPr>
          <w:rFonts w:ascii="Candara" w:hAnsi="Candara"/>
          <w:b/>
          <w:bCs/>
          <w:sz w:val="24"/>
          <w:szCs w:val="24"/>
        </w:rPr>
      </w:pPr>
    </w:p>
    <w:p w14:paraId="268A71B2" w14:textId="77777777" w:rsidR="007653D0" w:rsidRPr="0016235B" w:rsidRDefault="007653D0" w:rsidP="007653D0">
      <w:pPr>
        <w:jc w:val="both"/>
        <w:rPr>
          <w:rFonts w:ascii="Candara" w:hAnsi="Candara"/>
          <w:b/>
          <w:bCs/>
          <w:sz w:val="24"/>
          <w:szCs w:val="24"/>
        </w:rPr>
      </w:pPr>
    </w:p>
    <w:p w14:paraId="283877B5" w14:textId="77777777" w:rsidR="007653D0" w:rsidRPr="0016235B" w:rsidRDefault="007653D0" w:rsidP="007653D0">
      <w:pPr>
        <w:jc w:val="both"/>
        <w:rPr>
          <w:rFonts w:ascii="Candara" w:hAnsi="Candara"/>
          <w:b/>
          <w:bCs/>
          <w:sz w:val="24"/>
          <w:szCs w:val="24"/>
        </w:rPr>
      </w:pPr>
    </w:p>
    <w:p w14:paraId="19551D85" w14:textId="77777777" w:rsidR="007653D0" w:rsidRPr="0016235B" w:rsidRDefault="007653D0" w:rsidP="007653D0">
      <w:pPr>
        <w:jc w:val="both"/>
        <w:rPr>
          <w:rFonts w:ascii="Candara" w:hAnsi="Candara"/>
          <w:b/>
          <w:bCs/>
          <w:sz w:val="24"/>
          <w:szCs w:val="24"/>
        </w:rPr>
      </w:pPr>
    </w:p>
    <w:p w14:paraId="715A24B8" w14:textId="77777777" w:rsidR="007653D0" w:rsidRPr="0016235B" w:rsidRDefault="007653D0" w:rsidP="00B8030E">
      <w:pPr>
        <w:pStyle w:val="Heading3"/>
        <w:rPr>
          <w:rFonts w:ascii="Candara" w:hAnsi="Candara"/>
          <w:b/>
        </w:rPr>
      </w:pPr>
      <w:bookmarkStart w:id="62" w:name="_Toc11494067"/>
      <w:r w:rsidRPr="0016235B">
        <w:rPr>
          <w:rFonts w:ascii="Candara" w:hAnsi="Candara"/>
          <w:b/>
        </w:rPr>
        <w:t>4.211 Maternal health: Antenatal care first visit</w:t>
      </w:r>
      <w:bookmarkEnd w:id="62"/>
    </w:p>
    <w:p w14:paraId="2A3FA9E5"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Figure xxx: Availability of ANC source documents and reporting forms</w:t>
      </w:r>
    </w:p>
    <w:p w14:paraId="67658431" w14:textId="77777777" w:rsidR="007653D0" w:rsidRPr="0016235B" w:rsidRDefault="007653D0" w:rsidP="007653D0">
      <w:pPr>
        <w:jc w:val="both"/>
        <w:rPr>
          <w:rFonts w:ascii="Candara" w:hAnsi="Candara"/>
          <w:b/>
          <w:bCs/>
          <w:sz w:val="24"/>
          <w:szCs w:val="24"/>
        </w:rPr>
      </w:pPr>
      <w:r w:rsidRPr="0016235B">
        <w:rPr>
          <w:rFonts w:ascii="Candara" w:hAnsi="Candara"/>
          <w:noProof/>
          <w:sz w:val="24"/>
          <w:szCs w:val="24"/>
        </w:rPr>
        <w:drawing>
          <wp:inline distT="0" distB="0" distL="0" distR="0" wp14:anchorId="1CBB3F8A" wp14:editId="568158FD">
            <wp:extent cx="5943600" cy="3514725"/>
            <wp:effectExtent l="0" t="0" r="0" b="9525"/>
            <wp:docPr id="27" name="Chart 27">
              <a:extLst xmlns:a="http://schemas.openxmlformats.org/drawingml/2006/main">
                <a:ext uri="{FF2B5EF4-FFF2-40B4-BE49-F238E27FC236}">
                  <a16:creationId xmlns:a16="http://schemas.microsoft.com/office/drawing/2014/main" id="{2ED9F739-B2EF-4F49-99D0-A6B12C288E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3C8D2903" w14:textId="77777777" w:rsidR="007653D0" w:rsidRPr="0016235B" w:rsidRDefault="007653D0" w:rsidP="005722F2">
      <w:pPr>
        <w:pStyle w:val="ListParagraph"/>
        <w:numPr>
          <w:ilvl w:val="0"/>
          <w:numId w:val="30"/>
        </w:numPr>
        <w:jc w:val="both"/>
        <w:rPr>
          <w:rFonts w:ascii="Candara" w:hAnsi="Candara"/>
          <w:sz w:val="24"/>
          <w:szCs w:val="24"/>
        </w:rPr>
      </w:pPr>
      <w:r w:rsidRPr="0016235B">
        <w:rPr>
          <w:rFonts w:ascii="Candara" w:hAnsi="Candara"/>
          <w:sz w:val="24"/>
          <w:szCs w:val="24"/>
        </w:rPr>
        <w:t>All facilities offering antenatal services, had 100% reporting rate for antenatal data</w:t>
      </w:r>
    </w:p>
    <w:p w14:paraId="0E6B306F" w14:textId="4BCB958D" w:rsidR="007653D0" w:rsidRPr="0016235B" w:rsidRDefault="007653D0" w:rsidP="005722F2">
      <w:pPr>
        <w:pStyle w:val="ListParagraph"/>
        <w:numPr>
          <w:ilvl w:val="0"/>
          <w:numId w:val="30"/>
        </w:numPr>
        <w:jc w:val="both"/>
        <w:rPr>
          <w:rFonts w:ascii="Candara" w:hAnsi="Candara"/>
          <w:sz w:val="24"/>
          <w:szCs w:val="24"/>
        </w:rPr>
      </w:pPr>
      <w:r w:rsidRPr="0016235B">
        <w:rPr>
          <w:rFonts w:ascii="Candara" w:hAnsi="Candara"/>
          <w:sz w:val="24"/>
          <w:szCs w:val="24"/>
        </w:rPr>
        <w:t xml:space="preserve">Generally, data collection and reporting tools were available (&gt;90%) in both public and private facilities and there </w:t>
      </w:r>
      <w:r w:rsidR="008B3482" w:rsidRPr="0016235B">
        <w:rPr>
          <w:rFonts w:ascii="Candara" w:hAnsi="Candara"/>
          <w:sz w:val="24"/>
          <w:szCs w:val="24"/>
        </w:rPr>
        <w:t>were</w:t>
      </w:r>
      <w:r w:rsidRPr="0016235B">
        <w:rPr>
          <w:rFonts w:ascii="Candara" w:hAnsi="Candara"/>
          <w:sz w:val="24"/>
          <w:szCs w:val="24"/>
        </w:rPr>
        <w:t xml:space="preserve"> no urban-rural disparities</w:t>
      </w:r>
    </w:p>
    <w:p w14:paraId="412DCBB8"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14ED30EE"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6A7AE131"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071E00A0"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250ABC37"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27E34567"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54EA3577"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38120726"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26A90C61"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3E4CBB55"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20BB7A68"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5353A90B"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4B88ECDA"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5EF34993"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365A7933" w14:textId="77777777" w:rsidR="007653D0" w:rsidRPr="0016235B" w:rsidRDefault="007653D0" w:rsidP="007653D0">
      <w:pPr>
        <w:spacing w:after="0" w:line="240" w:lineRule="auto"/>
        <w:rPr>
          <w:rFonts w:ascii="Candara" w:eastAsia="Times New Roman" w:hAnsi="Candara" w:cs="Calibri"/>
          <w:b/>
          <w:bCs/>
          <w:color w:val="000000"/>
          <w:sz w:val="28"/>
          <w:szCs w:val="28"/>
        </w:rPr>
      </w:pPr>
    </w:p>
    <w:p w14:paraId="47E8697A" w14:textId="77777777" w:rsidR="007653D0" w:rsidRPr="0016235B" w:rsidRDefault="007653D0" w:rsidP="007653D0">
      <w:pPr>
        <w:spacing w:after="0" w:line="240" w:lineRule="auto"/>
        <w:rPr>
          <w:rFonts w:ascii="Candara" w:eastAsia="Times New Roman" w:hAnsi="Candara" w:cs="Calibri"/>
          <w:b/>
          <w:bCs/>
          <w:color w:val="000000"/>
          <w:sz w:val="28"/>
          <w:szCs w:val="28"/>
        </w:rPr>
      </w:pPr>
      <w:r w:rsidRPr="0016235B">
        <w:rPr>
          <w:rFonts w:ascii="Candara" w:eastAsia="Times New Roman" w:hAnsi="Candara" w:cs="Calibri"/>
          <w:b/>
          <w:bCs/>
          <w:color w:val="000000"/>
          <w:sz w:val="28"/>
          <w:szCs w:val="28"/>
        </w:rPr>
        <w:t xml:space="preserve">Verification factor (ratio) for ANC by key stratifying variables </w:t>
      </w:r>
    </w:p>
    <w:tbl>
      <w:tblPr>
        <w:tblW w:w="9320" w:type="dxa"/>
        <w:tblLook w:val="04A0" w:firstRow="1" w:lastRow="0" w:firstColumn="1" w:lastColumn="0" w:noHBand="0" w:noVBand="1"/>
      </w:tblPr>
      <w:tblGrid>
        <w:gridCol w:w="2184"/>
        <w:gridCol w:w="948"/>
        <w:gridCol w:w="1259"/>
        <w:gridCol w:w="1063"/>
        <w:gridCol w:w="1063"/>
        <w:gridCol w:w="933"/>
        <w:gridCol w:w="1063"/>
        <w:gridCol w:w="1063"/>
      </w:tblGrid>
      <w:tr w:rsidR="007653D0" w:rsidRPr="0016235B" w14:paraId="3B530AD2" w14:textId="77777777" w:rsidTr="007653D0">
        <w:trPr>
          <w:trHeight w:val="1500"/>
        </w:trPr>
        <w:tc>
          <w:tcPr>
            <w:tcW w:w="2260" w:type="dxa"/>
            <w:tcBorders>
              <w:top w:val="nil"/>
              <w:left w:val="nil"/>
              <w:bottom w:val="nil"/>
              <w:right w:val="nil"/>
            </w:tcBorders>
            <w:shd w:val="clear" w:color="000000" w:fill="E7E6E6"/>
            <w:noWrap/>
            <w:vAlign w:val="bottom"/>
            <w:hideMark/>
          </w:tcPr>
          <w:p w14:paraId="3A233FE4"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Level</w:t>
            </w:r>
          </w:p>
        </w:tc>
        <w:tc>
          <w:tcPr>
            <w:tcW w:w="960" w:type="dxa"/>
            <w:tcBorders>
              <w:top w:val="nil"/>
              <w:left w:val="nil"/>
              <w:bottom w:val="nil"/>
              <w:right w:val="nil"/>
            </w:tcBorders>
            <w:shd w:val="clear" w:color="000000" w:fill="E7E6E6"/>
            <w:vAlign w:val="bottom"/>
            <w:hideMark/>
          </w:tcPr>
          <w:p w14:paraId="7556EE1C"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Number of facilities</w:t>
            </w:r>
          </w:p>
        </w:tc>
        <w:tc>
          <w:tcPr>
            <w:tcW w:w="1300" w:type="dxa"/>
            <w:tcBorders>
              <w:top w:val="nil"/>
              <w:left w:val="nil"/>
              <w:bottom w:val="nil"/>
              <w:right w:val="nil"/>
            </w:tcBorders>
            <w:shd w:val="clear" w:color="000000" w:fill="E7E6E6"/>
            <w:vAlign w:val="bottom"/>
            <w:hideMark/>
          </w:tcPr>
          <w:p w14:paraId="22F991AC"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Verification   factor</w:t>
            </w:r>
          </w:p>
        </w:tc>
        <w:tc>
          <w:tcPr>
            <w:tcW w:w="960" w:type="dxa"/>
            <w:tcBorders>
              <w:top w:val="nil"/>
              <w:left w:val="nil"/>
              <w:bottom w:val="nil"/>
              <w:right w:val="nil"/>
            </w:tcBorders>
            <w:shd w:val="clear" w:color="000000" w:fill="E7E6E6"/>
            <w:vAlign w:val="bottom"/>
            <w:hideMark/>
          </w:tcPr>
          <w:p w14:paraId="5B5643B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&gt;10% over reporting</w:t>
            </w:r>
          </w:p>
        </w:tc>
        <w:tc>
          <w:tcPr>
            <w:tcW w:w="960" w:type="dxa"/>
            <w:tcBorders>
              <w:top w:val="nil"/>
              <w:left w:val="nil"/>
              <w:bottom w:val="nil"/>
              <w:right w:val="nil"/>
            </w:tcBorders>
            <w:shd w:val="clear" w:color="000000" w:fill="E7E6E6"/>
            <w:vAlign w:val="bottom"/>
            <w:hideMark/>
          </w:tcPr>
          <w:p w14:paraId="17714B61" w14:textId="3C1B5D3F"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Up</w:t>
            </w:r>
            <w:r w:rsidR="008B3482" w:rsidRPr="0016235B">
              <w:rPr>
                <w:rFonts w:ascii="Candara" w:eastAsia="Times New Roman" w:hAnsi="Candara" w:cs="Calibri"/>
                <w:color w:val="000000"/>
              </w:rPr>
              <w:t xml:space="preserve"> </w:t>
            </w:r>
            <w:r w:rsidRPr="0016235B">
              <w:rPr>
                <w:rFonts w:ascii="Candara" w:eastAsia="Times New Roman" w:hAnsi="Candara" w:cs="Calibri"/>
                <w:color w:val="000000"/>
              </w:rPr>
              <w:t>to 10% over reporting</w:t>
            </w:r>
          </w:p>
        </w:tc>
        <w:tc>
          <w:tcPr>
            <w:tcW w:w="960" w:type="dxa"/>
            <w:tcBorders>
              <w:top w:val="nil"/>
              <w:left w:val="nil"/>
              <w:bottom w:val="nil"/>
              <w:right w:val="nil"/>
            </w:tcBorders>
            <w:shd w:val="clear" w:color="000000" w:fill="E7E6E6"/>
            <w:vAlign w:val="bottom"/>
            <w:hideMark/>
          </w:tcPr>
          <w:p w14:paraId="70659809"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Match</w:t>
            </w:r>
          </w:p>
        </w:tc>
        <w:tc>
          <w:tcPr>
            <w:tcW w:w="960" w:type="dxa"/>
            <w:tcBorders>
              <w:top w:val="nil"/>
              <w:left w:val="nil"/>
              <w:bottom w:val="nil"/>
              <w:right w:val="nil"/>
            </w:tcBorders>
            <w:shd w:val="clear" w:color="000000" w:fill="E7E6E6"/>
            <w:vAlign w:val="bottom"/>
            <w:hideMark/>
          </w:tcPr>
          <w:p w14:paraId="04867C45" w14:textId="00D4FE4D"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Up</w:t>
            </w:r>
            <w:r w:rsidR="008B3482" w:rsidRPr="0016235B">
              <w:rPr>
                <w:rFonts w:ascii="Candara" w:eastAsia="Times New Roman" w:hAnsi="Candara" w:cs="Calibri"/>
                <w:color w:val="000000"/>
              </w:rPr>
              <w:t xml:space="preserve"> </w:t>
            </w:r>
            <w:r w:rsidRPr="0016235B">
              <w:rPr>
                <w:rFonts w:ascii="Candara" w:eastAsia="Times New Roman" w:hAnsi="Candara" w:cs="Calibri"/>
                <w:color w:val="000000"/>
              </w:rPr>
              <w:t>to 10% under reporting</w:t>
            </w:r>
          </w:p>
        </w:tc>
        <w:tc>
          <w:tcPr>
            <w:tcW w:w="960" w:type="dxa"/>
            <w:tcBorders>
              <w:top w:val="nil"/>
              <w:left w:val="nil"/>
              <w:bottom w:val="nil"/>
              <w:right w:val="nil"/>
            </w:tcBorders>
            <w:shd w:val="clear" w:color="000000" w:fill="E7E6E6"/>
            <w:vAlign w:val="bottom"/>
            <w:hideMark/>
          </w:tcPr>
          <w:p w14:paraId="365A253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&gt;10% under reporting</w:t>
            </w:r>
          </w:p>
        </w:tc>
      </w:tr>
      <w:tr w:rsidR="007653D0" w:rsidRPr="0016235B" w14:paraId="7B164EC9" w14:textId="77777777" w:rsidTr="007653D0">
        <w:trPr>
          <w:trHeight w:val="300"/>
        </w:trPr>
        <w:tc>
          <w:tcPr>
            <w:tcW w:w="2260" w:type="dxa"/>
            <w:tcBorders>
              <w:top w:val="nil"/>
              <w:left w:val="nil"/>
              <w:bottom w:val="nil"/>
              <w:right w:val="nil"/>
            </w:tcBorders>
            <w:shd w:val="clear" w:color="auto" w:fill="auto"/>
            <w:noWrap/>
            <w:vAlign w:val="bottom"/>
            <w:hideMark/>
          </w:tcPr>
          <w:p w14:paraId="7BD2F194"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Regional Hospital</w:t>
            </w:r>
          </w:p>
        </w:tc>
        <w:tc>
          <w:tcPr>
            <w:tcW w:w="960" w:type="dxa"/>
            <w:tcBorders>
              <w:top w:val="nil"/>
              <w:left w:val="nil"/>
              <w:bottom w:val="nil"/>
              <w:right w:val="nil"/>
            </w:tcBorders>
            <w:shd w:val="clear" w:color="auto" w:fill="auto"/>
            <w:noWrap/>
            <w:vAlign w:val="bottom"/>
            <w:hideMark/>
          </w:tcPr>
          <w:p w14:paraId="668AAC0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w:t>
            </w:r>
          </w:p>
        </w:tc>
        <w:tc>
          <w:tcPr>
            <w:tcW w:w="1300" w:type="dxa"/>
            <w:tcBorders>
              <w:top w:val="nil"/>
              <w:left w:val="nil"/>
              <w:bottom w:val="nil"/>
              <w:right w:val="nil"/>
            </w:tcBorders>
            <w:shd w:val="clear" w:color="auto" w:fill="auto"/>
            <w:noWrap/>
            <w:vAlign w:val="bottom"/>
            <w:hideMark/>
          </w:tcPr>
          <w:p w14:paraId="70F7878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0.94</w:t>
            </w:r>
          </w:p>
        </w:tc>
        <w:tc>
          <w:tcPr>
            <w:tcW w:w="960" w:type="dxa"/>
            <w:tcBorders>
              <w:top w:val="nil"/>
              <w:left w:val="nil"/>
              <w:bottom w:val="nil"/>
              <w:right w:val="nil"/>
            </w:tcBorders>
            <w:shd w:val="clear" w:color="auto" w:fill="auto"/>
            <w:noWrap/>
            <w:vAlign w:val="bottom"/>
            <w:hideMark/>
          </w:tcPr>
          <w:p w14:paraId="6316215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630A4A3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77.8</w:t>
            </w:r>
          </w:p>
        </w:tc>
        <w:tc>
          <w:tcPr>
            <w:tcW w:w="960" w:type="dxa"/>
            <w:tcBorders>
              <w:top w:val="nil"/>
              <w:left w:val="nil"/>
              <w:bottom w:val="nil"/>
              <w:right w:val="nil"/>
            </w:tcBorders>
            <w:shd w:val="clear" w:color="auto" w:fill="auto"/>
            <w:noWrap/>
            <w:vAlign w:val="bottom"/>
            <w:hideMark/>
          </w:tcPr>
          <w:p w14:paraId="1CCF107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4EB7FDF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03980C2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25485841" w14:textId="77777777" w:rsidTr="007653D0">
        <w:trPr>
          <w:trHeight w:val="300"/>
        </w:trPr>
        <w:tc>
          <w:tcPr>
            <w:tcW w:w="2260" w:type="dxa"/>
            <w:tcBorders>
              <w:top w:val="nil"/>
              <w:left w:val="nil"/>
              <w:bottom w:val="nil"/>
              <w:right w:val="nil"/>
            </w:tcBorders>
            <w:shd w:val="clear" w:color="auto" w:fill="auto"/>
            <w:noWrap/>
            <w:vAlign w:val="bottom"/>
            <w:hideMark/>
          </w:tcPr>
          <w:p w14:paraId="21D97E71"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General Hospital</w:t>
            </w:r>
          </w:p>
        </w:tc>
        <w:tc>
          <w:tcPr>
            <w:tcW w:w="960" w:type="dxa"/>
            <w:tcBorders>
              <w:top w:val="nil"/>
              <w:left w:val="nil"/>
              <w:bottom w:val="nil"/>
              <w:right w:val="nil"/>
            </w:tcBorders>
            <w:shd w:val="clear" w:color="auto" w:fill="auto"/>
            <w:noWrap/>
            <w:vAlign w:val="bottom"/>
            <w:hideMark/>
          </w:tcPr>
          <w:p w14:paraId="2FD46D9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w:t>
            </w:r>
          </w:p>
        </w:tc>
        <w:tc>
          <w:tcPr>
            <w:tcW w:w="1300" w:type="dxa"/>
            <w:tcBorders>
              <w:top w:val="nil"/>
              <w:left w:val="nil"/>
              <w:bottom w:val="nil"/>
              <w:right w:val="nil"/>
            </w:tcBorders>
            <w:shd w:val="clear" w:color="auto" w:fill="auto"/>
            <w:noWrap/>
            <w:vAlign w:val="bottom"/>
            <w:hideMark/>
          </w:tcPr>
          <w:p w14:paraId="037E4BE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960" w:type="dxa"/>
            <w:tcBorders>
              <w:top w:val="nil"/>
              <w:left w:val="nil"/>
              <w:bottom w:val="nil"/>
              <w:right w:val="nil"/>
            </w:tcBorders>
            <w:shd w:val="clear" w:color="auto" w:fill="auto"/>
            <w:noWrap/>
            <w:vAlign w:val="bottom"/>
            <w:hideMark/>
          </w:tcPr>
          <w:p w14:paraId="1F336A7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960" w:type="dxa"/>
            <w:tcBorders>
              <w:top w:val="nil"/>
              <w:left w:val="nil"/>
              <w:bottom w:val="nil"/>
              <w:right w:val="nil"/>
            </w:tcBorders>
            <w:shd w:val="clear" w:color="auto" w:fill="auto"/>
            <w:noWrap/>
            <w:vAlign w:val="bottom"/>
            <w:hideMark/>
          </w:tcPr>
          <w:p w14:paraId="12870C0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16.0</w:t>
            </w:r>
          </w:p>
        </w:tc>
        <w:tc>
          <w:tcPr>
            <w:tcW w:w="960" w:type="dxa"/>
            <w:tcBorders>
              <w:top w:val="nil"/>
              <w:left w:val="nil"/>
              <w:bottom w:val="nil"/>
              <w:right w:val="nil"/>
            </w:tcBorders>
            <w:shd w:val="clear" w:color="auto" w:fill="auto"/>
            <w:noWrap/>
            <w:vAlign w:val="bottom"/>
            <w:hideMark/>
          </w:tcPr>
          <w:p w14:paraId="61E52B0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28.0</w:t>
            </w:r>
          </w:p>
        </w:tc>
        <w:tc>
          <w:tcPr>
            <w:tcW w:w="960" w:type="dxa"/>
            <w:tcBorders>
              <w:top w:val="nil"/>
              <w:left w:val="nil"/>
              <w:bottom w:val="nil"/>
              <w:right w:val="nil"/>
            </w:tcBorders>
            <w:shd w:val="clear" w:color="auto" w:fill="auto"/>
            <w:noWrap/>
            <w:vAlign w:val="bottom"/>
            <w:hideMark/>
          </w:tcPr>
          <w:p w14:paraId="2FAFA3A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24.0</w:t>
            </w:r>
          </w:p>
        </w:tc>
        <w:tc>
          <w:tcPr>
            <w:tcW w:w="960" w:type="dxa"/>
            <w:tcBorders>
              <w:top w:val="nil"/>
              <w:left w:val="nil"/>
              <w:bottom w:val="nil"/>
              <w:right w:val="nil"/>
            </w:tcBorders>
            <w:shd w:val="clear" w:color="auto" w:fill="auto"/>
            <w:noWrap/>
            <w:vAlign w:val="bottom"/>
            <w:hideMark/>
          </w:tcPr>
          <w:p w14:paraId="0024F7F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12.0</w:t>
            </w:r>
          </w:p>
        </w:tc>
      </w:tr>
      <w:tr w:rsidR="007653D0" w:rsidRPr="0016235B" w14:paraId="0FB4A0D3" w14:textId="77777777" w:rsidTr="007653D0">
        <w:trPr>
          <w:trHeight w:val="300"/>
        </w:trPr>
        <w:tc>
          <w:tcPr>
            <w:tcW w:w="2260" w:type="dxa"/>
            <w:tcBorders>
              <w:top w:val="nil"/>
              <w:left w:val="nil"/>
              <w:bottom w:val="nil"/>
              <w:right w:val="nil"/>
            </w:tcBorders>
            <w:shd w:val="clear" w:color="auto" w:fill="auto"/>
            <w:noWrap/>
            <w:vAlign w:val="bottom"/>
            <w:hideMark/>
          </w:tcPr>
          <w:p w14:paraId="636E7394"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IV</w:t>
            </w:r>
          </w:p>
        </w:tc>
        <w:tc>
          <w:tcPr>
            <w:tcW w:w="960" w:type="dxa"/>
            <w:tcBorders>
              <w:top w:val="nil"/>
              <w:left w:val="nil"/>
              <w:bottom w:val="nil"/>
              <w:right w:val="nil"/>
            </w:tcBorders>
            <w:shd w:val="clear" w:color="auto" w:fill="auto"/>
            <w:noWrap/>
            <w:vAlign w:val="bottom"/>
            <w:hideMark/>
          </w:tcPr>
          <w:p w14:paraId="1F54E54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w:t>
            </w:r>
          </w:p>
        </w:tc>
        <w:tc>
          <w:tcPr>
            <w:tcW w:w="1300" w:type="dxa"/>
            <w:tcBorders>
              <w:top w:val="nil"/>
              <w:left w:val="nil"/>
              <w:bottom w:val="nil"/>
              <w:right w:val="nil"/>
            </w:tcBorders>
            <w:shd w:val="clear" w:color="auto" w:fill="auto"/>
            <w:noWrap/>
            <w:vAlign w:val="bottom"/>
            <w:hideMark/>
          </w:tcPr>
          <w:p w14:paraId="16EDDA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0.96</w:t>
            </w:r>
          </w:p>
        </w:tc>
        <w:tc>
          <w:tcPr>
            <w:tcW w:w="960" w:type="dxa"/>
            <w:tcBorders>
              <w:top w:val="nil"/>
              <w:left w:val="nil"/>
              <w:bottom w:val="nil"/>
              <w:right w:val="nil"/>
            </w:tcBorders>
            <w:shd w:val="clear" w:color="auto" w:fill="auto"/>
            <w:noWrap/>
            <w:vAlign w:val="bottom"/>
            <w:hideMark/>
          </w:tcPr>
          <w:p w14:paraId="3DEF887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8.7</w:t>
            </w:r>
          </w:p>
        </w:tc>
        <w:tc>
          <w:tcPr>
            <w:tcW w:w="960" w:type="dxa"/>
            <w:tcBorders>
              <w:top w:val="nil"/>
              <w:left w:val="nil"/>
              <w:bottom w:val="nil"/>
              <w:right w:val="nil"/>
            </w:tcBorders>
            <w:shd w:val="clear" w:color="auto" w:fill="auto"/>
            <w:noWrap/>
            <w:vAlign w:val="bottom"/>
            <w:hideMark/>
          </w:tcPr>
          <w:p w14:paraId="29524A1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21.7</w:t>
            </w:r>
          </w:p>
        </w:tc>
        <w:tc>
          <w:tcPr>
            <w:tcW w:w="960" w:type="dxa"/>
            <w:tcBorders>
              <w:top w:val="nil"/>
              <w:left w:val="nil"/>
              <w:bottom w:val="nil"/>
              <w:right w:val="nil"/>
            </w:tcBorders>
            <w:shd w:val="clear" w:color="auto" w:fill="auto"/>
            <w:noWrap/>
            <w:vAlign w:val="bottom"/>
            <w:hideMark/>
          </w:tcPr>
          <w:p w14:paraId="54F0410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47.8</w:t>
            </w:r>
          </w:p>
        </w:tc>
        <w:tc>
          <w:tcPr>
            <w:tcW w:w="960" w:type="dxa"/>
            <w:tcBorders>
              <w:top w:val="nil"/>
              <w:left w:val="nil"/>
              <w:bottom w:val="nil"/>
              <w:right w:val="nil"/>
            </w:tcBorders>
            <w:shd w:val="clear" w:color="auto" w:fill="auto"/>
            <w:noWrap/>
            <w:vAlign w:val="bottom"/>
            <w:hideMark/>
          </w:tcPr>
          <w:p w14:paraId="1FFC3F2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17.4</w:t>
            </w:r>
          </w:p>
        </w:tc>
        <w:tc>
          <w:tcPr>
            <w:tcW w:w="960" w:type="dxa"/>
            <w:tcBorders>
              <w:top w:val="nil"/>
              <w:left w:val="nil"/>
              <w:bottom w:val="nil"/>
              <w:right w:val="nil"/>
            </w:tcBorders>
            <w:shd w:val="clear" w:color="auto" w:fill="auto"/>
            <w:noWrap/>
            <w:vAlign w:val="bottom"/>
            <w:hideMark/>
          </w:tcPr>
          <w:p w14:paraId="2B0F942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4.4</w:t>
            </w:r>
          </w:p>
        </w:tc>
      </w:tr>
      <w:tr w:rsidR="007653D0" w:rsidRPr="0016235B" w14:paraId="08737B98" w14:textId="77777777" w:rsidTr="007653D0">
        <w:trPr>
          <w:trHeight w:val="300"/>
        </w:trPr>
        <w:tc>
          <w:tcPr>
            <w:tcW w:w="2260" w:type="dxa"/>
            <w:tcBorders>
              <w:top w:val="nil"/>
              <w:left w:val="nil"/>
              <w:bottom w:val="nil"/>
              <w:right w:val="nil"/>
            </w:tcBorders>
            <w:shd w:val="clear" w:color="auto" w:fill="auto"/>
            <w:noWrap/>
            <w:vAlign w:val="bottom"/>
            <w:hideMark/>
          </w:tcPr>
          <w:p w14:paraId="1F8A78A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III</w:t>
            </w:r>
          </w:p>
        </w:tc>
        <w:tc>
          <w:tcPr>
            <w:tcW w:w="960" w:type="dxa"/>
            <w:tcBorders>
              <w:top w:val="nil"/>
              <w:left w:val="nil"/>
              <w:bottom w:val="nil"/>
              <w:right w:val="nil"/>
            </w:tcBorders>
            <w:shd w:val="clear" w:color="auto" w:fill="auto"/>
            <w:noWrap/>
            <w:vAlign w:val="bottom"/>
            <w:hideMark/>
          </w:tcPr>
          <w:p w14:paraId="1E43426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36</w:t>
            </w:r>
          </w:p>
        </w:tc>
        <w:tc>
          <w:tcPr>
            <w:tcW w:w="1300" w:type="dxa"/>
            <w:tcBorders>
              <w:top w:val="nil"/>
              <w:left w:val="nil"/>
              <w:bottom w:val="nil"/>
              <w:right w:val="nil"/>
            </w:tcBorders>
            <w:shd w:val="clear" w:color="auto" w:fill="auto"/>
            <w:noWrap/>
            <w:vAlign w:val="bottom"/>
            <w:hideMark/>
          </w:tcPr>
          <w:p w14:paraId="155782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0.96</w:t>
            </w:r>
          </w:p>
        </w:tc>
        <w:tc>
          <w:tcPr>
            <w:tcW w:w="960" w:type="dxa"/>
            <w:tcBorders>
              <w:top w:val="nil"/>
              <w:left w:val="nil"/>
              <w:bottom w:val="nil"/>
              <w:right w:val="nil"/>
            </w:tcBorders>
            <w:shd w:val="clear" w:color="auto" w:fill="auto"/>
            <w:noWrap/>
            <w:vAlign w:val="bottom"/>
            <w:hideMark/>
          </w:tcPr>
          <w:p w14:paraId="592D7FE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13.9</w:t>
            </w:r>
          </w:p>
        </w:tc>
        <w:tc>
          <w:tcPr>
            <w:tcW w:w="960" w:type="dxa"/>
            <w:tcBorders>
              <w:top w:val="nil"/>
              <w:left w:val="nil"/>
              <w:bottom w:val="nil"/>
              <w:right w:val="nil"/>
            </w:tcBorders>
            <w:shd w:val="clear" w:color="auto" w:fill="auto"/>
            <w:noWrap/>
            <w:vAlign w:val="bottom"/>
            <w:hideMark/>
          </w:tcPr>
          <w:p w14:paraId="418FF3B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960" w:type="dxa"/>
            <w:tcBorders>
              <w:top w:val="nil"/>
              <w:left w:val="nil"/>
              <w:bottom w:val="nil"/>
              <w:right w:val="nil"/>
            </w:tcBorders>
            <w:shd w:val="clear" w:color="auto" w:fill="auto"/>
            <w:noWrap/>
            <w:vAlign w:val="bottom"/>
            <w:hideMark/>
          </w:tcPr>
          <w:p w14:paraId="4A86966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960" w:type="dxa"/>
            <w:tcBorders>
              <w:top w:val="nil"/>
              <w:left w:val="nil"/>
              <w:bottom w:val="nil"/>
              <w:right w:val="nil"/>
            </w:tcBorders>
            <w:shd w:val="clear" w:color="auto" w:fill="auto"/>
            <w:noWrap/>
            <w:vAlign w:val="bottom"/>
            <w:hideMark/>
          </w:tcPr>
          <w:p w14:paraId="28454AE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05577D6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8.3</w:t>
            </w:r>
          </w:p>
        </w:tc>
      </w:tr>
      <w:tr w:rsidR="007653D0" w:rsidRPr="0016235B" w14:paraId="5453C07B" w14:textId="77777777" w:rsidTr="007653D0">
        <w:trPr>
          <w:trHeight w:val="300"/>
        </w:trPr>
        <w:tc>
          <w:tcPr>
            <w:tcW w:w="2260" w:type="dxa"/>
            <w:tcBorders>
              <w:top w:val="nil"/>
              <w:left w:val="nil"/>
              <w:bottom w:val="nil"/>
              <w:right w:val="nil"/>
            </w:tcBorders>
            <w:shd w:val="clear" w:color="auto" w:fill="auto"/>
            <w:noWrap/>
            <w:vAlign w:val="bottom"/>
            <w:hideMark/>
          </w:tcPr>
          <w:p w14:paraId="5159242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w:t>
            </w:r>
          </w:p>
        </w:tc>
        <w:tc>
          <w:tcPr>
            <w:tcW w:w="960" w:type="dxa"/>
            <w:tcBorders>
              <w:top w:val="nil"/>
              <w:left w:val="nil"/>
              <w:bottom w:val="nil"/>
              <w:right w:val="nil"/>
            </w:tcBorders>
            <w:shd w:val="clear" w:color="auto" w:fill="auto"/>
            <w:noWrap/>
            <w:vAlign w:val="bottom"/>
            <w:hideMark/>
          </w:tcPr>
          <w:p w14:paraId="63CCACE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24</w:t>
            </w:r>
          </w:p>
        </w:tc>
        <w:tc>
          <w:tcPr>
            <w:tcW w:w="1300" w:type="dxa"/>
            <w:tcBorders>
              <w:top w:val="nil"/>
              <w:left w:val="nil"/>
              <w:bottom w:val="nil"/>
              <w:right w:val="nil"/>
            </w:tcBorders>
            <w:shd w:val="clear" w:color="auto" w:fill="auto"/>
            <w:noWrap/>
            <w:vAlign w:val="bottom"/>
            <w:hideMark/>
          </w:tcPr>
          <w:p w14:paraId="3E1217B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0.93</w:t>
            </w:r>
          </w:p>
        </w:tc>
        <w:tc>
          <w:tcPr>
            <w:tcW w:w="960" w:type="dxa"/>
            <w:tcBorders>
              <w:top w:val="nil"/>
              <w:left w:val="nil"/>
              <w:bottom w:val="nil"/>
              <w:right w:val="nil"/>
            </w:tcBorders>
            <w:shd w:val="clear" w:color="auto" w:fill="auto"/>
            <w:noWrap/>
            <w:vAlign w:val="bottom"/>
            <w:hideMark/>
          </w:tcPr>
          <w:p w14:paraId="5724ED1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960" w:type="dxa"/>
            <w:tcBorders>
              <w:top w:val="nil"/>
              <w:left w:val="nil"/>
              <w:bottom w:val="nil"/>
              <w:right w:val="nil"/>
            </w:tcBorders>
            <w:shd w:val="clear" w:color="auto" w:fill="auto"/>
            <w:noWrap/>
            <w:vAlign w:val="bottom"/>
            <w:hideMark/>
          </w:tcPr>
          <w:p w14:paraId="3EA7B5B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8.3</w:t>
            </w:r>
          </w:p>
        </w:tc>
        <w:tc>
          <w:tcPr>
            <w:tcW w:w="960" w:type="dxa"/>
            <w:tcBorders>
              <w:top w:val="nil"/>
              <w:left w:val="nil"/>
              <w:bottom w:val="nil"/>
              <w:right w:val="nil"/>
            </w:tcBorders>
            <w:shd w:val="clear" w:color="auto" w:fill="auto"/>
            <w:noWrap/>
            <w:vAlign w:val="bottom"/>
            <w:hideMark/>
          </w:tcPr>
          <w:p w14:paraId="42F2EFB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41.7</w:t>
            </w:r>
          </w:p>
        </w:tc>
        <w:tc>
          <w:tcPr>
            <w:tcW w:w="960" w:type="dxa"/>
            <w:tcBorders>
              <w:top w:val="nil"/>
              <w:left w:val="nil"/>
              <w:bottom w:val="nil"/>
              <w:right w:val="nil"/>
            </w:tcBorders>
            <w:shd w:val="clear" w:color="auto" w:fill="auto"/>
            <w:noWrap/>
            <w:vAlign w:val="bottom"/>
            <w:hideMark/>
          </w:tcPr>
          <w:p w14:paraId="7CE32F3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8.3</w:t>
            </w:r>
          </w:p>
        </w:tc>
        <w:tc>
          <w:tcPr>
            <w:tcW w:w="960" w:type="dxa"/>
            <w:tcBorders>
              <w:top w:val="nil"/>
              <w:left w:val="nil"/>
              <w:bottom w:val="nil"/>
              <w:right w:val="nil"/>
            </w:tcBorders>
            <w:shd w:val="clear" w:color="auto" w:fill="auto"/>
            <w:noWrap/>
            <w:vAlign w:val="bottom"/>
            <w:hideMark/>
          </w:tcPr>
          <w:p w14:paraId="32968AB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r>
      <w:tr w:rsidR="007653D0" w:rsidRPr="0016235B" w14:paraId="310ECBCC" w14:textId="77777777" w:rsidTr="007653D0">
        <w:trPr>
          <w:trHeight w:val="300"/>
        </w:trPr>
        <w:tc>
          <w:tcPr>
            <w:tcW w:w="2260" w:type="dxa"/>
            <w:tcBorders>
              <w:top w:val="nil"/>
              <w:left w:val="nil"/>
              <w:bottom w:val="nil"/>
              <w:right w:val="nil"/>
            </w:tcBorders>
            <w:shd w:val="clear" w:color="000000" w:fill="E7E6E6"/>
            <w:noWrap/>
            <w:vAlign w:val="bottom"/>
            <w:hideMark/>
          </w:tcPr>
          <w:p w14:paraId="2C0C0527"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Managing Authority</w:t>
            </w:r>
          </w:p>
        </w:tc>
        <w:tc>
          <w:tcPr>
            <w:tcW w:w="960" w:type="dxa"/>
            <w:tcBorders>
              <w:top w:val="nil"/>
              <w:left w:val="nil"/>
              <w:bottom w:val="nil"/>
              <w:right w:val="nil"/>
            </w:tcBorders>
            <w:shd w:val="clear" w:color="000000" w:fill="E7E6E6"/>
            <w:noWrap/>
            <w:vAlign w:val="bottom"/>
            <w:hideMark/>
          </w:tcPr>
          <w:p w14:paraId="642E742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300" w:type="dxa"/>
            <w:tcBorders>
              <w:top w:val="nil"/>
              <w:left w:val="nil"/>
              <w:bottom w:val="nil"/>
              <w:right w:val="nil"/>
            </w:tcBorders>
            <w:shd w:val="clear" w:color="000000" w:fill="E7E6E6"/>
            <w:noWrap/>
            <w:vAlign w:val="bottom"/>
            <w:hideMark/>
          </w:tcPr>
          <w:p w14:paraId="652B8F01"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960" w:type="dxa"/>
            <w:tcBorders>
              <w:top w:val="nil"/>
              <w:left w:val="nil"/>
              <w:bottom w:val="nil"/>
              <w:right w:val="nil"/>
            </w:tcBorders>
            <w:shd w:val="clear" w:color="000000" w:fill="E7E6E6"/>
            <w:noWrap/>
            <w:vAlign w:val="bottom"/>
            <w:hideMark/>
          </w:tcPr>
          <w:p w14:paraId="5319FD18"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270F527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11DC7E46"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52E4F661"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34CCD4DC"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49F9F066" w14:textId="77777777" w:rsidTr="007653D0">
        <w:trPr>
          <w:trHeight w:val="300"/>
        </w:trPr>
        <w:tc>
          <w:tcPr>
            <w:tcW w:w="2260" w:type="dxa"/>
            <w:tcBorders>
              <w:top w:val="nil"/>
              <w:left w:val="nil"/>
              <w:bottom w:val="nil"/>
              <w:right w:val="nil"/>
            </w:tcBorders>
            <w:shd w:val="clear" w:color="auto" w:fill="auto"/>
            <w:noWrap/>
            <w:vAlign w:val="bottom"/>
            <w:hideMark/>
          </w:tcPr>
          <w:p w14:paraId="1FAD1CB7"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Public/G</w:t>
            </w:r>
          </w:p>
        </w:tc>
        <w:tc>
          <w:tcPr>
            <w:tcW w:w="960" w:type="dxa"/>
            <w:tcBorders>
              <w:top w:val="nil"/>
              <w:left w:val="nil"/>
              <w:bottom w:val="nil"/>
              <w:right w:val="nil"/>
            </w:tcBorders>
            <w:shd w:val="clear" w:color="auto" w:fill="auto"/>
            <w:noWrap/>
            <w:vAlign w:val="bottom"/>
            <w:hideMark/>
          </w:tcPr>
          <w:p w14:paraId="4F33568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74</w:t>
            </w:r>
          </w:p>
        </w:tc>
        <w:tc>
          <w:tcPr>
            <w:tcW w:w="1300" w:type="dxa"/>
            <w:tcBorders>
              <w:top w:val="nil"/>
              <w:left w:val="nil"/>
              <w:bottom w:val="nil"/>
              <w:right w:val="nil"/>
            </w:tcBorders>
            <w:shd w:val="clear" w:color="auto" w:fill="auto"/>
            <w:noWrap/>
            <w:vAlign w:val="bottom"/>
            <w:hideMark/>
          </w:tcPr>
          <w:p w14:paraId="7F8B157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960" w:type="dxa"/>
            <w:tcBorders>
              <w:top w:val="nil"/>
              <w:left w:val="nil"/>
              <w:bottom w:val="nil"/>
              <w:right w:val="nil"/>
            </w:tcBorders>
            <w:shd w:val="clear" w:color="auto" w:fill="auto"/>
            <w:noWrap/>
            <w:vAlign w:val="bottom"/>
            <w:hideMark/>
          </w:tcPr>
          <w:p w14:paraId="15C263D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13.5</w:t>
            </w:r>
          </w:p>
        </w:tc>
        <w:tc>
          <w:tcPr>
            <w:tcW w:w="960" w:type="dxa"/>
            <w:tcBorders>
              <w:top w:val="nil"/>
              <w:left w:val="nil"/>
              <w:bottom w:val="nil"/>
              <w:right w:val="nil"/>
            </w:tcBorders>
            <w:shd w:val="clear" w:color="auto" w:fill="auto"/>
            <w:noWrap/>
            <w:vAlign w:val="bottom"/>
            <w:hideMark/>
          </w:tcPr>
          <w:p w14:paraId="5D7C4C2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25.7</w:t>
            </w:r>
          </w:p>
        </w:tc>
        <w:tc>
          <w:tcPr>
            <w:tcW w:w="960" w:type="dxa"/>
            <w:tcBorders>
              <w:top w:val="nil"/>
              <w:left w:val="nil"/>
              <w:bottom w:val="nil"/>
              <w:right w:val="nil"/>
            </w:tcBorders>
            <w:shd w:val="clear" w:color="auto" w:fill="auto"/>
            <w:noWrap/>
            <w:vAlign w:val="bottom"/>
            <w:hideMark/>
          </w:tcPr>
          <w:p w14:paraId="0481437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37.8</w:t>
            </w:r>
          </w:p>
        </w:tc>
        <w:tc>
          <w:tcPr>
            <w:tcW w:w="960" w:type="dxa"/>
            <w:tcBorders>
              <w:top w:val="nil"/>
              <w:left w:val="nil"/>
              <w:bottom w:val="nil"/>
              <w:right w:val="nil"/>
            </w:tcBorders>
            <w:shd w:val="clear" w:color="auto" w:fill="auto"/>
            <w:noWrap/>
            <w:vAlign w:val="bottom"/>
            <w:hideMark/>
          </w:tcPr>
          <w:p w14:paraId="6E06E06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17.6</w:t>
            </w:r>
          </w:p>
        </w:tc>
        <w:tc>
          <w:tcPr>
            <w:tcW w:w="960" w:type="dxa"/>
            <w:tcBorders>
              <w:top w:val="nil"/>
              <w:left w:val="nil"/>
              <w:bottom w:val="nil"/>
              <w:right w:val="nil"/>
            </w:tcBorders>
            <w:shd w:val="clear" w:color="auto" w:fill="auto"/>
            <w:noWrap/>
            <w:vAlign w:val="bottom"/>
            <w:hideMark/>
          </w:tcPr>
          <w:p w14:paraId="18DBF95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5.4</w:t>
            </w:r>
          </w:p>
        </w:tc>
      </w:tr>
      <w:tr w:rsidR="007653D0" w:rsidRPr="0016235B" w14:paraId="75A0DFD7" w14:textId="77777777" w:rsidTr="007653D0">
        <w:trPr>
          <w:trHeight w:val="300"/>
        </w:trPr>
        <w:tc>
          <w:tcPr>
            <w:tcW w:w="2260" w:type="dxa"/>
            <w:tcBorders>
              <w:top w:val="nil"/>
              <w:left w:val="nil"/>
              <w:bottom w:val="nil"/>
              <w:right w:val="nil"/>
            </w:tcBorders>
            <w:shd w:val="clear" w:color="auto" w:fill="auto"/>
            <w:noWrap/>
            <w:vAlign w:val="bottom"/>
            <w:hideMark/>
          </w:tcPr>
          <w:p w14:paraId="148858D1"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Private</w:t>
            </w:r>
          </w:p>
        </w:tc>
        <w:tc>
          <w:tcPr>
            <w:tcW w:w="960" w:type="dxa"/>
            <w:tcBorders>
              <w:top w:val="nil"/>
              <w:left w:val="nil"/>
              <w:bottom w:val="nil"/>
              <w:right w:val="nil"/>
            </w:tcBorders>
            <w:shd w:val="clear" w:color="auto" w:fill="auto"/>
            <w:noWrap/>
            <w:vAlign w:val="bottom"/>
            <w:hideMark/>
          </w:tcPr>
          <w:p w14:paraId="4DC402A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43</w:t>
            </w:r>
          </w:p>
        </w:tc>
        <w:tc>
          <w:tcPr>
            <w:tcW w:w="1300" w:type="dxa"/>
            <w:tcBorders>
              <w:top w:val="nil"/>
              <w:left w:val="nil"/>
              <w:bottom w:val="nil"/>
              <w:right w:val="nil"/>
            </w:tcBorders>
            <w:shd w:val="clear" w:color="auto" w:fill="auto"/>
            <w:noWrap/>
            <w:vAlign w:val="bottom"/>
            <w:hideMark/>
          </w:tcPr>
          <w:p w14:paraId="73A6610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960" w:type="dxa"/>
            <w:tcBorders>
              <w:top w:val="nil"/>
              <w:left w:val="nil"/>
              <w:bottom w:val="nil"/>
              <w:right w:val="nil"/>
            </w:tcBorders>
            <w:shd w:val="clear" w:color="auto" w:fill="auto"/>
            <w:noWrap/>
            <w:vAlign w:val="bottom"/>
            <w:hideMark/>
          </w:tcPr>
          <w:p w14:paraId="50E5821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20.9</w:t>
            </w:r>
          </w:p>
        </w:tc>
        <w:tc>
          <w:tcPr>
            <w:tcW w:w="960" w:type="dxa"/>
            <w:tcBorders>
              <w:top w:val="nil"/>
              <w:left w:val="nil"/>
              <w:bottom w:val="nil"/>
              <w:right w:val="nil"/>
            </w:tcBorders>
            <w:shd w:val="clear" w:color="auto" w:fill="auto"/>
            <w:noWrap/>
            <w:vAlign w:val="bottom"/>
            <w:hideMark/>
          </w:tcPr>
          <w:p w14:paraId="0FBC94E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11.6</w:t>
            </w:r>
          </w:p>
        </w:tc>
        <w:tc>
          <w:tcPr>
            <w:tcW w:w="960" w:type="dxa"/>
            <w:tcBorders>
              <w:top w:val="nil"/>
              <w:left w:val="nil"/>
              <w:bottom w:val="nil"/>
              <w:right w:val="nil"/>
            </w:tcBorders>
            <w:shd w:val="clear" w:color="auto" w:fill="auto"/>
            <w:noWrap/>
            <w:vAlign w:val="bottom"/>
            <w:hideMark/>
          </w:tcPr>
          <w:p w14:paraId="50A8647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44.2</w:t>
            </w:r>
          </w:p>
        </w:tc>
        <w:tc>
          <w:tcPr>
            <w:tcW w:w="960" w:type="dxa"/>
            <w:tcBorders>
              <w:top w:val="nil"/>
              <w:left w:val="nil"/>
              <w:bottom w:val="nil"/>
              <w:right w:val="nil"/>
            </w:tcBorders>
            <w:shd w:val="clear" w:color="auto" w:fill="auto"/>
            <w:noWrap/>
            <w:vAlign w:val="bottom"/>
            <w:hideMark/>
          </w:tcPr>
          <w:p w14:paraId="6723E6B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7.0</w:t>
            </w:r>
          </w:p>
        </w:tc>
        <w:tc>
          <w:tcPr>
            <w:tcW w:w="960" w:type="dxa"/>
            <w:tcBorders>
              <w:top w:val="nil"/>
              <w:left w:val="nil"/>
              <w:bottom w:val="nil"/>
              <w:right w:val="nil"/>
            </w:tcBorders>
            <w:shd w:val="clear" w:color="auto" w:fill="auto"/>
            <w:noWrap/>
            <w:vAlign w:val="bottom"/>
            <w:hideMark/>
          </w:tcPr>
          <w:p w14:paraId="6756525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16.3</w:t>
            </w:r>
          </w:p>
        </w:tc>
      </w:tr>
      <w:tr w:rsidR="007653D0" w:rsidRPr="0016235B" w14:paraId="429956A9" w14:textId="77777777" w:rsidTr="007653D0">
        <w:trPr>
          <w:trHeight w:val="300"/>
        </w:trPr>
        <w:tc>
          <w:tcPr>
            <w:tcW w:w="2260" w:type="dxa"/>
            <w:tcBorders>
              <w:top w:val="nil"/>
              <w:left w:val="nil"/>
              <w:bottom w:val="nil"/>
              <w:right w:val="nil"/>
            </w:tcBorders>
            <w:shd w:val="clear" w:color="000000" w:fill="E7E6E6"/>
            <w:noWrap/>
            <w:vAlign w:val="bottom"/>
            <w:hideMark/>
          </w:tcPr>
          <w:p w14:paraId="37B822F5"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Location</w:t>
            </w:r>
          </w:p>
        </w:tc>
        <w:tc>
          <w:tcPr>
            <w:tcW w:w="960" w:type="dxa"/>
            <w:tcBorders>
              <w:top w:val="nil"/>
              <w:left w:val="nil"/>
              <w:bottom w:val="nil"/>
              <w:right w:val="nil"/>
            </w:tcBorders>
            <w:shd w:val="clear" w:color="000000" w:fill="E7E6E6"/>
            <w:noWrap/>
            <w:vAlign w:val="bottom"/>
            <w:hideMark/>
          </w:tcPr>
          <w:p w14:paraId="2E21E18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300" w:type="dxa"/>
            <w:tcBorders>
              <w:top w:val="nil"/>
              <w:left w:val="nil"/>
              <w:bottom w:val="nil"/>
              <w:right w:val="nil"/>
            </w:tcBorders>
            <w:shd w:val="clear" w:color="000000" w:fill="E7E6E6"/>
            <w:noWrap/>
            <w:vAlign w:val="bottom"/>
            <w:hideMark/>
          </w:tcPr>
          <w:p w14:paraId="64D6C22D"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960" w:type="dxa"/>
            <w:tcBorders>
              <w:top w:val="nil"/>
              <w:left w:val="nil"/>
              <w:bottom w:val="nil"/>
              <w:right w:val="nil"/>
            </w:tcBorders>
            <w:shd w:val="clear" w:color="000000" w:fill="E7E6E6"/>
            <w:noWrap/>
            <w:vAlign w:val="bottom"/>
            <w:hideMark/>
          </w:tcPr>
          <w:p w14:paraId="1DE41E0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5360B8AD"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40999F49"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6080969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401D643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077077F4" w14:textId="77777777" w:rsidTr="007653D0">
        <w:trPr>
          <w:trHeight w:val="300"/>
        </w:trPr>
        <w:tc>
          <w:tcPr>
            <w:tcW w:w="2260" w:type="dxa"/>
            <w:tcBorders>
              <w:top w:val="nil"/>
              <w:left w:val="nil"/>
              <w:bottom w:val="nil"/>
              <w:right w:val="nil"/>
            </w:tcBorders>
            <w:shd w:val="clear" w:color="auto" w:fill="auto"/>
            <w:noWrap/>
            <w:vAlign w:val="bottom"/>
            <w:hideMark/>
          </w:tcPr>
          <w:p w14:paraId="0F9E6757"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Urban</w:t>
            </w:r>
          </w:p>
        </w:tc>
        <w:tc>
          <w:tcPr>
            <w:tcW w:w="960" w:type="dxa"/>
            <w:tcBorders>
              <w:top w:val="nil"/>
              <w:left w:val="nil"/>
              <w:bottom w:val="nil"/>
              <w:right w:val="nil"/>
            </w:tcBorders>
            <w:shd w:val="clear" w:color="auto" w:fill="auto"/>
            <w:noWrap/>
            <w:vAlign w:val="bottom"/>
            <w:hideMark/>
          </w:tcPr>
          <w:p w14:paraId="4AEF353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54</w:t>
            </w:r>
          </w:p>
        </w:tc>
        <w:tc>
          <w:tcPr>
            <w:tcW w:w="1300" w:type="dxa"/>
            <w:tcBorders>
              <w:top w:val="nil"/>
              <w:left w:val="nil"/>
              <w:bottom w:val="nil"/>
              <w:right w:val="nil"/>
            </w:tcBorders>
            <w:shd w:val="clear" w:color="auto" w:fill="auto"/>
            <w:noWrap/>
            <w:vAlign w:val="bottom"/>
            <w:hideMark/>
          </w:tcPr>
          <w:p w14:paraId="55D888A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0.90</w:t>
            </w:r>
          </w:p>
        </w:tc>
        <w:tc>
          <w:tcPr>
            <w:tcW w:w="960" w:type="dxa"/>
            <w:tcBorders>
              <w:top w:val="nil"/>
              <w:left w:val="nil"/>
              <w:bottom w:val="nil"/>
              <w:right w:val="nil"/>
            </w:tcBorders>
            <w:shd w:val="clear" w:color="auto" w:fill="auto"/>
            <w:noWrap/>
            <w:vAlign w:val="bottom"/>
            <w:hideMark/>
          </w:tcPr>
          <w:p w14:paraId="6EFFE93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20.4</w:t>
            </w:r>
          </w:p>
        </w:tc>
        <w:tc>
          <w:tcPr>
            <w:tcW w:w="960" w:type="dxa"/>
            <w:tcBorders>
              <w:top w:val="nil"/>
              <w:left w:val="nil"/>
              <w:bottom w:val="nil"/>
              <w:right w:val="nil"/>
            </w:tcBorders>
            <w:shd w:val="clear" w:color="auto" w:fill="auto"/>
            <w:noWrap/>
            <w:vAlign w:val="bottom"/>
            <w:hideMark/>
          </w:tcPr>
          <w:p w14:paraId="6AA33F7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27.8</w:t>
            </w:r>
          </w:p>
        </w:tc>
        <w:tc>
          <w:tcPr>
            <w:tcW w:w="960" w:type="dxa"/>
            <w:tcBorders>
              <w:top w:val="nil"/>
              <w:left w:val="nil"/>
              <w:bottom w:val="nil"/>
              <w:right w:val="nil"/>
            </w:tcBorders>
            <w:shd w:val="clear" w:color="auto" w:fill="auto"/>
            <w:noWrap/>
            <w:vAlign w:val="bottom"/>
            <w:hideMark/>
          </w:tcPr>
          <w:p w14:paraId="13C7B47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31.5</w:t>
            </w:r>
          </w:p>
        </w:tc>
        <w:tc>
          <w:tcPr>
            <w:tcW w:w="960" w:type="dxa"/>
            <w:tcBorders>
              <w:top w:val="nil"/>
              <w:left w:val="nil"/>
              <w:bottom w:val="nil"/>
              <w:right w:val="nil"/>
            </w:tcBorders>
            <w:shd w:val="clear" w:color="auto" w:fill="auto"/>
            <w:noWrap/>
            <w:vAlign w:val="bottom"/>
            <w:hideMark/>
          </w:tcPr>
          <w:p w14:paraId="6F6418F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960" w:type="dxa"/>
            <w:tcBorders>
              <w:top w:val="nil"/>
              <w:left w:val="nil"/>
              <w:bottom w:val="nil"/>
              <w:right w:val="nil"/>
            </w:tcBorders>
            <w:shd w:val="clear" w:color="auto" w:fill="auto"/>
            <w:noWrap/>
            <w:vAlign w:val="bottom"/>
            <w:hideMark/>
          </w:tcPr>
          <w:p w14:paraId="6E1DC73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w:t>
            </w:r>
          </w:p>
        </w:tc>
      </w:tr>
      <w:tr w:rsidR="007653D0" w:rsidRPr="0016235B" w14:paraId="1797EB94" w14:textId="77777777" w:rsidTr="007653D0">
        <w:trPr>
          <w:trHeight w:val="300"/>
        </w:trPr>
        <w:tc>
          <w:tcPr>
            <w:tcW w:w="2260" w:type="dxa"/>
            <w:tcBorders>
              <w:top w:val="nil"/>
              <w:left w:val="nil"/>
              <w:bottom w:val="nil"/>
              <w:right w:val="nil"/>
            </w:tcBorders>
            <w:shd w:val="clear" w:color="auto" w:fill="auto"/>
            <w:noWrap/>
            <w:vAlign w:val="bottom"/>
            <w:hideMark/>
          </w:tcPr>
          <w:p w14:paraId="00B67F92"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Rural</w:t>
            </w:r>
          </w:p>
        </w:tc>
        <w:tc>
          <w:tcPr>
            <w:tcW w:w="960" w:type="dxa"/>
            <w:tcBorders>
              <w:top w:val="nil"/>
              <w:left w:val="nil"/>
              <w:bottom w:val="nil"/>
              <w:right w:val="nil"/>
            </w:tcBorders>
            <w:shd w:val="clear" w:color="auto" w:fill="auto"/>
            <w:noWrap/>
            <w:vAlign w:val="bottom"/>
            <w:hideMark/>
          </w:tcPr>
          <w:p w14:paraId="7448B2C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63</w:t>
            </w:r>
          </w:p>
        </w:tc>
        <w:tc>
          <w:tcPr>
            <w:tcW w:w="1300" w:type="dxa"/>
            <w:tcBorders>
              <w:top w:val="nil"/>
              <w:left w:val="nil"/>
              <w:bottom w:val="nil"/>
              <w:right w:val="nil"/>
            </w:tcBorders>
            <w:shd w:val="clear" w:color="auto" w:fill="auto"/>
            <w:noWrap/>
            <w:vAlign w:val="bottom"/>
            <w:hideMark/>
          </w:tcPr>
          <w:p w14:paraId="23FFFCC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0.99</w:t>
            </w:r>
          </w:p>
        </w:tc>
        <w:tc>
          <w:tcPr>
            <w:tcW w:w="960" w:type="dxa"/>
            <w:tcBorders>
              <w:top w:val="nil"/>
              <w:left w:val="nil"/>
              <w:bottom w:val="nil"/>
              <w:right w:val="nil"/>
            </w:tcBorders>
            <w:shd w:val="clear" w:color="auto" w:fill="auto"/>
            <w:noWrap/>
            <w:vAlign w:val="bottom"/>
            <w:hideMark/>
          </w:tcPr>
          <w:p w14:paraId="2E91140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12.7</w:t>
            </w:r>
          </w:p>
        </w:tc>
        <w:tc>
          <w:tcPr>
            <w:tcW w:w="960" w:type="dxa"/>
            <w:tcBorders>
              <w:top w:val="nil"/>
              <w:left w:val="nil"/>
              <w:bottom w:val="nil"/>
              <w:right w:val="nil"/>
            </w:tcBorders>
            <w:shd w:val="clear" w:color="auto" w:fill="auto"/>
            <w:noWrap/>
            <w:vAlign w:val="bottom"/>
            <w:hideMark/>
          </w:tcPr>
          <w:p w14:paraId="0EB9C05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960" w:type="dxa"/>
            <w:tcBorders>
              <w:top w:val="nil"/>
              <w:left w:val="nil"/>
              <w:bottom w:val="nil"/>
              <w:right w:val="nil"/>
            </w:tcBorders>
            <w:shd w:val="clear" w:color="auto" w:fill="auto"/>
            <w:noWrap/>
            <w:vAlign w:val="bottom"/>
            <w:hideMark/>
          </w:tcPr>
          <w:p w14:paraId="07155A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47.6</w:t>
            </w:r>
          </w:p>
        </w:tc>
        <w:tc>
          <w:tcPr>
            <w:tcW w:w="960" w:type="dxa"/>
            <w:tcBorders>
              <w:top w:val="nil"/>
              <w:left w:val="nil"/>
              <w:bottom w:val="nil"/>
              <w:right w:val="nil"/>
            </w:tcBorders>
            <w:shd w:val="clear" w:color="auto" w:fill="auto"/>
            <w:noWrap/>
            <w:vAlign w:val="bottom"/>
            <w:hideMark/>
          </w:tcPr>
          <w:p w14:paraId="5934E28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5CE3509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r>
      <w:tr w:rsidR="007653D0" w:rsidRPr="0016235B" w14:paraId="60606F51" w14:textId="77777777" w:rsidTr="007653D0">
        <w:trPr>
          <w:trHeight w:val="300"/>
        </w:trPr>
        <w:tc>
          <w:tcPr>
            <w:tcW w:w="2260" w:type="dxa"/>
            <w:tcBorders>
              <w:top w:val="nil"/>
              <w:left w:val="nil"/>
              <w:bottom w:val="nil"/>
              <w:right w:val="nil"/>
            </w:tcBorders>
            <w:shd w:val="clear" w:color="000000" w:fill="E7E6E6"/>
            <w:noWrap/>
            <w:vAlign w:val="bottom"/>
            <w:hideMark/>
          </w:tcPr>
          <w:p w14:paraId="3A35591E"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Health Region</w:t>
            </w:r>
          </w:p>
        </w:tc>
        <w:tc>
          <w:tcPr>
            <w:tcW w:w="960" w:type="dxa"/>
            <w:tcBorders>
              <w:top w:val="nil"/>
              <w:left w:val="nil"/>
              <w:bottom w:val="nil"/>
              <w:right w:val="nil"/>
            </w:tcBorders>
            <w:shd w:val="clear" w:color="000000" w:fill="E7E6E6"/>
            <w:noWrap/>
            <w:vAlign w:val="bottom"/>
            <w:hideMark/>
          </w:tcPr>
          <w:p w14:paraId="2BA8B14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300" w:type="dxa"/>
            <w:tcBorders>
              <w:top w:val="nil"/>
              <w:left w:val="nil"/>
              <w:bottom w:val="nil"/>
              <w:right w:val="nil"/>
            </w:tcBorders>
            <w:shd w:val="clear" w:color="000000" w:fill="E7E6E6"/>
            <w:noWrap/>
            <w:vAlign w:val="bottom"/>
            <w:hideMark/>
          </w:tcPr>
          <w:p w14:paraId="01A51742"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960" w:type="dxa"/>
            <w:tcBorders>
              <w:top w:val="nil"/>
              <w:left w:val="nil"/>
              <w:bottom w:val="nil"/>
              <w:right w:val="nil"/>
            </w:tcBorders>
            <w:shd w:val="clear" w:color="000000" w:fill="E7E6E6"/>
            <w:noWrap/>
            <w:vAlign w:val="bottom"/>
            <w:hideMark/>
          </w:tcPr>
          <w:p w14:paraId="3579F021"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21FE01D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2898C6CF"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080FADCC"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5C8B203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175E5EF5" w14:textId="77777777" w:rsidTr="007653D0">
        <w:trPr>
          <w:trHeight w:val="300"/>
        </w:trPr>
        <w:tc>
          <w:tcPr>
            <w:tcW w:w="2260" w:type="dxa"/>
            <w:tcBorders>
              <w:top w:val="nil"/>
              <w:left w:val="nil"/>
              <w:bottom w:val="nil"/>
              <w:right w:val="nil"/>
            </w:tcBorders>
            <w:shd w:val="clear" w:color="auto" w:fill="auto"/>
            <w:noWrap/>
            <w:vAlign w:val="bottom"/>
            <w:hideMark/>
          </w:tcPr>
          <w:p w14:paraId="6E9B683D"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Central1</w:t>
            </w:r>
          </w:p>
        </w:tc>
        <w:tc>
          <w:tcPr>
            <w:tcW w:w="960" w:type="dxa"/>
            <w:tcBorders>
              <w:top w:val="nil"/>
              <w:left w:val="nil"/>
              <w:bottom w:val="nil"/>
              <w:right w:val="nil"/>
            </w:tcBorders>
            <w:shd w:val="clear" w:color="auto" w:fill="auto"/>
            <w:noWrap/>
            <w:vAlign w:val="bottom"/>
            <w:hideMark/>
          </w:tcPr>
          <w:p w14:paraId="5AFAE8F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w:t>
            </w:r>
          </w:p>
        </w:tc>
        <w:tc>
          <w:tcPr>
            <w:tcW w:w="1300" w:type="dxa"/>
            <w:tcBorders>
              <w:top w:val="nil"/>
              <w:left w:val="nil"/>
              <w:bottom w:val="nil"/>
              <w:right w:val="nil"/>
            </w:tcBorders>
            <w:shd w:val="clear" w:color="auto" w:fill="auto"/>
            <w:noWrap/>
            <w:vAlign w:val="bottom"/>
            <w:hideMark/>
          </w:tcPr>
          <w:p w14:paraId="66C9236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0.92</w:t>
            </w:r>
          </w:p>
        </w:tc>
        <w:tc>
          <w:tcPr>
            <w:tcW w:w="960" w:type="dxa"/>
            <w:tcBorders>
              <w:top w:val="nil"/>
              <w:left w:val="nil"/>
              <w:bottom w:val="nil"/>
              <w:right w:val="nil"/>
            </w:tcBorders>
            <w:shd w:val="clear" w:color="auto" w:fill="auto"/>
            <w:noWrap/>
            <w:vAlign w:val="bottom"/>
            <w:hideMark/>
          </w:tcPr>
          <w:p w14:paraId="4D60ED8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15.8</w:t>
            </w:r>
          </w:p>
        </w:tc>
        <w:tc>
          <w:tcPr>
            <w:tcW w:w="960" w:type="dxa"/>
            <w:tcBorders>
              <w:top w:val="nil"/>
              <w:left w:val="nil"/>
              <w:bottom w:val="nil"/>
              <w:right w:val="nil"/>
            </w:tcBorders>
            <w:shd w:val="clear" w:color="auto" w:fill="auto"/>
            <w:noWrap/>
            <w:vAlign w:val="bottom"/>
            <w:hideMark/>
          </w:tcPr>
          <w:p w14:paraId="1A863C1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15.8</w:t>
            </w:r>
          </w:p>
        </w:tc>
        <w:tc>
          <w:tcPr>
            <w:tcW w:w="960" w:type="dxa"/>
            <w:tcBorders>
              <w:top w:val="nil"/>
              <w:left w:val="nil"/>
              <w:bottom w:val="nil"/>
              <w:right w:val="nil"/>
            </w:tcBorders>
            <w:shd w:val="clear" w:color="auto" w:fill="auto"/>
            <w:noWrap/>
            <w:vAlign w:val="bottom"/>
            <w:hideMark/>
          </w:tcPr>
          <w:p w14:paraId="2ABB766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36.8</w:t>
            </w:r>
          </w:p>
        </w:tc>
        <w:tc>
          <w:tcPr>
            <w:tcW w:w="960" w:type="dxa"/>
            <w:tcBorders>
              <w:top w:val="nil"/>
              <w:left w:val="nil"/>
              <w:bottom w:val="nil"/>
              <w:right w:val="nil"/>
            </w:tcBorders>
            <w:shd w:val="clear" w:color="auto" w:fill="auto"/>
            <w:noWrap/>
            <w:vAlign w:val="bottom"/>
            <w:hideMark/>
          </w:tcPr>
          <w:p w14:paraId="74BAFF0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21.1</w:t>
            </w:r>
          </w:p>
        </w:tc>
        <w:tc>
          <w:tcPr>
            <w:tcW w:w="960" w:type="dxa"/>
            <w:tcBorders>
              <w:top w:val="nil"/>
              <w:left w:val="nil"/>
              <w:bottom w:val="nil"/>
              <w:right w:val="nil"/>
            </w:tcBorders>
            <w:shd w:val="clear" w:color="auto" w:fill="auto"/>
            <w:noWrap/>
            <w:vAlign w:val="bottom"/>
            <w:hideMark/>
          </w:tcPr>
          <w:p w14:paraId="44D76C3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10.5</w:t>
            </w:r>
          </w:p>
        </w:tc>
      </w:tr>
      <w:tr w:rsidR="007653D0" w:rsidRPr="0016235B" w14:paraId="2916B093" w14:textId="77777777" w:rsidTr="007653D0">
        <w:trPr>
          <w:trHeight w:val="300"/>
        </w:trPr>
        <w:tc>
          <w:tcPr>
            <w:tcW w:w="2260" w:type="dxa"/>
            <w:tcBorders>
              <w:top w:val="nil"/>
              <w:left w:val="nil"/>
              <w:bottom w:val="nil"/>
              <w:right w:val="nil"/>
            </w:tcBorders>
            <w:shd w:val="clear" w:color="auto" w:fill="auto"/>
            <w:noWrap/>
            <w:vAlign w:val="bottom"/>
            <w:hideMark/>
          </w:tcPr>
          <w:p w14:paraId="1A6D979A"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Central2</w:t>
            </w:r>
          </w:p>
        </w:tc>
        <w:tc>
          <w:tcPr>
            <w:tcW w:w="960" w:type="dxa"/>
            <w:tcBorders>
              <w:top w:val="nil"/>
              <w:left w:val="nil"/>
              <w:bottom w:val="nil"/>
              <w:right w:val="nil"/>
            </w:tcBorders>
            <w:shd w:val="clear" w:color="auto" w:fill="auto"/>
            <w:noWrap/>
            <w:vAlign w:val="bottom"/>
            <w:hideMark/>
          </w:tcPr>
          <w:p w14:paraId="795DA41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300" w:type="dxa"/>
            <w:tcBorders>
              <w:top w:val="nil"/>
              <w:left w:val="nil"/>
              <w:bottom w:val="nil"/>
              <w:right w:val="nil"/>
            </w:tcBorders>
            <w:shd w:val="clear" w:color="auto" w:fill="auto"/>
            <w:noWrap/>
            <w:vAlign w:val="bottom"/>
            <w:hideMark/>
          </w:tcPr>
          <w:p w14:paraId="186C181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960" w:type="dxa"/>
            <w:tcBorders>
              <w:top w:val="nil"/>
              <w:left w:val="nil"/>
              <w:bottom w:val="nil"/>
              <w:right w:val="nil"/>
            </w:tcBorders>
            <w:shd w:val="clear" w:color="auto" w:fill="auto"/>
            <w:noWrap/>
            <w:vAlign w:val="bottom"/>
            <w:hideMark/>
          </w:tcPr>
          <w:p w14:paraId="05E3E94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960" w:type="dxa"/>
            <w:tcBorders>
              <w:top w:val="nil"/>
              <w:left w:val="nil"/>
              <w:bottom w:val="nil"/>
              <w:right w:val="nil"/>
            </w:tcBorders>
            <w:shd w:val="clear" w:color="auto" w:fill="auto"/>
            <w:noWrap/>
            <w:vAlign w:val="bottom"/>
            <w:hideMark/>
          </w:tcPr>
          <w:p w14:paraId="1378AC2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960" w:type="dxa"/>
            <w:tcBorders>
              <w:top w:val="nil"/>
              <w:left w:val="nil"/>
              <w:bottom w:val="nil"/>
              <w:right w:val="nil"/>
            </w:tcBorders>
            <w:shd w:val="clear" w:color="auto" w:fill="auto"/>
            <w:noWrap/>
            <w:vAlign w:val="bottom"/>
            <w:hideMark/>
          </w:tcPr>
          <w:p w14:paraId="1771DEF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960" w:type="dxa"/>
            <w:tcBorders>
              <w:top w:val="nil"/>
              <w:left w:val="nil"/>
              <w:bottom w:val="nil"/>
              <w:right w:val="nil"/>
            </w:tcBorders>
            <w:shd w:val="clear" w:color="auto" w:fill="auto"/>
            <w:noWrap/>
            <w:vAlign w:val="bottom"/>
            <w:hideMark/>
          </w:tcPr>
          <w:p w14:paraId="068462E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960" w:type="dxa"/>
            <w:tcBorders>
              <w:top w:val="nil"/>
              <w:left w:val="nil"/>
              <w:bottom w:val="nil"/>
              <w:right w:val="nil"/>
            </w:tcBorders>
            <w:shd w:val="clear" w:color="auto" w:fill="auto"/>
            <w:noWrap/>
            <w:vAlign w:val="bottom"/>
            <w:hideMark/>
          </w:tcPr>
          <w:p w14:paraId="1FD4283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r>
      <w:tr w:rsidR="007653D0" w:rsidRPr="0016235B" w14:paraId="4AFEF723" w14:textId="77777777" w:rsidTr="007653D0">
        <w:trPr>
          <w:trHeight w:val="300"/>
        </w:trPr>
        <w:tc>
          <w:tcPr>
            <w:tcW w:w="2260" w:type="dxa"/>
            <w:tcBorders>
              <w:top w:val="nil"/>
              <w:left w:val="nil"/>
              <w:bottom w:val="nil"/>
              <w:right w:val="nil"/>
            </w:tcBorders>
            <w:shd w:val="clear" w:color="auto" w:fill="auto"/>
            <w:noWrap/>
            <w:vAlign w:val="bottom"/>
            <w:hideMark/>
          </w:tcPr>
          <w:p w14:paraId="6680C9E5"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Kampala</w:t>
            </w:r>
          </w:p>
        </w:tc>
        <w:tc>
          <w:tcPr>
            <w:tcW w:w="960" w:type="dxa"/>
            <w:tcBorders>
              <w:top w:val="nil"/>
              <w:left w:val="nil"/>
              <w:bottom w:val="nil"/>
              <w:right w:val="nil"/>
            </w:tcBorders>
            <w:shd w:val="clear" w:color="auto" w:fill="auto"/>
            <w:noWrap/>
            <w:vAlign w:val="bottom"/>
            <w:hideMark/>
          </w:tcPr>
          <w:p w14:paraId="75CE55D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w:t>
            </w:r>
          </w:p>
        </w:tc>
        <w:tc>
          <w:tcPr>
            <w:tcW w:w="1300" w:type="dxa"/>
            <w:tcBorders>
              <w:top w:val="nil"/>
              <w:left w:val="nil"/>
              <w:bottom w:val="nil"/>
              <w:right w:val="nil"/>
            </w:tcBorders>
            <w:shd w:val="clear" w:color="auto" w:fill="auto"/>
            <w:noWrap/>
            <w:vAlign w:val="bottom"/>
            <w:hideMark/>
          </w:tcPr>
          <w:p w14:paraId="07C113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0.81</w:t>
            </w:r>
          </w:p>
        </w:tc>
        <w:tc>
          <w:tcPr>
            <w:tcW w:w="960" w:type="dxa"/>
            <w:tcBorders>
              <w:top w:val="nil"/>
              <w:left w:val="nil"/>
              <w:bottom w:val="nil"/>
              <w:right w:val="nil"/>
            </w:tcBorders>
            <w:shd w:val="clear" w:color="auto" w:fill="auto"/>
            <w:noWrap/>
            <w:vAlign w:val="bottom"/>
            <w:hideMark/>
          </w:tcPr>
          <w:p w14:paraId="150D0E0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960" w:type="dxa"/>
            <w:tcBorders>
              <w:top w:val="nil"/>
              <w:left w:val="nil"/>
              <w:bottom w:val="nil"/>
              <w:right w:val="nil"/>
            </w:tcBorders>
            <w:shd w:val="clear" w:color="auto" w:fill="auto"/>
            <w:noWrap/>
            <w:vAlign w:val="bottom"/>
            <w:hideMark/>
          </w:tcPr>
          <w:p w14:paraId="30DF820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960" w:type="dxa"/>
            <w:tcBorders>
              <w:top w:val="nil"/>
              <w:left w:val="nil"/>
              <w:bottom w:val="nil"/>
              <w:right w:val="nil"/>
            </w:tcBorders>
            <w:shd w:val="clear" w:color="auto" w:fill="auto"/>
            <w:noWrap/>
            <w:vAlign w:val="bottom"/>
            <w:hideMark/>
          </w:tcPr>
          <w:p w14:paraId="098C007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960" w:type="dxa"/>
            <w:tcBorders>
              <w:top w:val="nil"/>
              <w:left w:val="nil"/>
              <w:bottom w:val="nil"/>
              <w:right w:val="nil"/>
            </w:tcBorders>
            <w:shd w:val="clear" w:color="auto" w:fill="auto"/>
            <w:noWrap/>
            <w:vAlign w:val="bottom"/>
            <w:hideMark/>
          </w:tcPr>
          <w:p w14:paraId="5AFA985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5AB41E6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120857D3" w14:textId="77777777" w:rsidTr="007653D0">
        <w:trPr>
          <w:trHeight w:val="300"/>
        </w:trPr>
        <w:tc>
          <w:tcPr>
            <w:tcW w:w="2260" w:type="dxa"/>
            <w:tcBorders>
              <w:top w:val="nil"/>
              <w:left w:val="nil"/>
              <w:bottom w:val="nil"/>
              <w:right w:val="nil"/>
            </w:tcBorders>
            <w:shd w:val="clear" w:color="auto" w:fill="auto"/>
            <w:noWrap/>
            <w:vAlign w:val="bottom"/>
            <w:hideMark/>
          </w:tcPr>
          <w:p w14:paraId="325BC984"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Karamoja</w:t>
            </w:r>
          </w:p>
        </w:tc>
        <w:tc>
          <w:tcPr>
            <w:tcW w:w="960" w:type="dxa"/>
            <w:tcBorders>
              <w:top w:val="nil"/>
              <w:left w:val="nil"/>
              <w:bottom w:val="nil"/>
              <w:right w:val="nil"/>
            </w:tcBorders>
            <w:shd w:val="clear" w:color="auto" w:fill="auto"/>
            <w:noWrap/>
            <w:vAlign w:val="bottom"/>
            <w:hideMark/>
          </w:tcPr>
          <w:p w14:paraId="064E919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w:t>
            </w:r>
          </w:p>
        </w:tc>
        <w:tc>
          <w:tcPr>
            <w:tcW w:w="1300" w:type="dxa"/>
            <w:tcBorders>
              <w:top w:val="nil"/>
              <w:left w:val="nil"/>
              <w:bottom w:val="nil"/>
              <w:right w:val="nil"/>
            </w:tcBorders>
            <w:shd w:val="clear" w:color="auto" w:fill="auto"/>
            <w:noWrap/>
            <w:vAlign w:val="bottom"/>
            <w:hideMark/>
          </w:tcPr>
          <w:p w14:paraId="0F34100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1.14</w:t>
            </w:r>
          </w:p>
        </w:tc>
        <w:tc>
          <w:tcPr>
            <w:tcW w:w="960" w:type="dxa"/>
            <w:tcBorders>
              <w:top w:val="nil"/>
              <w:left w:val="nil"/>
              <w:bottom w:val="nil"/>
              <w:right w:val="nil"/>
            </w:tcBorders>
            <w:shd w:val="clear" w:color="auto" w:fill="auto"/>
            <w:noWrap/>
            <w:vAlign w:val="bottom"/>
            <w:hideMark/>
          </w:tcPr>
          <w:p w14:paraId="5B57523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960" w:type="dxa"/>
            <w:tcBorders>
              <w:top w:val="nil"/>
              <w:left w:val="nil"/>
              <w:bottom w:val="nil"/>
              <w:right w:val="nil"/>
            </w:tcBorders>
            <w:shd w:val="clear" w:color="auto" w:fill="auto"/>
            <w:noWrap/>
            <w:vAlign w:val="bottom"/>
            <w:hideMark/>
          </w:tcPr>
          <w:p w14:paraId="3FF96C2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5EB8120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960" w:type="dxa"/>
            <w:tcBorders>
              <w:top w:val="nil"/>
              <w:left w:val="nil"/>
              <w:bottom w:val="nil"/>
              <w:right w:val="nil"/>
            </w:tcBorders>
            <w:shd w:val="clear" w:color="auto" w:fill="auto"/>
            <w:noWrap/>
            <w:vAlign w:val="bottom"/>
            <w:hideMark/>
          </w:tcPr>
          <w:p w14:paraId="56977C6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40.0</w:t>
            </w:r>
          </w:p>
        </w:tc>
        <w:tc>
          <w:tcPr>
            <w:tcW w:w="960" w:type="dxa"/>
            <w:tcBorders>
              <w:top w:val="nil"/>
              <w:left w:val="nil"/>
              <w:bottom w:val="nil"/>
              <w:right w:val="nil"/>
            </w:tcBorders>
            <w:shd w:val="clear" w:color="auto" w:fill="auto"/>
            <w:noWrap/>
            <w:vAlign w:val="bottom"/>
            <w:hideMark/>
          </w:tcPr>
          <w:p w14:paraId="0C8CD65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r>
      <w:tr w:rsidR="007653D0" w:rsidRPr="0016235B" w14:paraId="6188CDDB" w14:textId="77777777" w:rsidTr="007653D0">
        <w:trPr>
          <w:trHeight w:val="300"/>
        </w:trPr>
        <w:tc>
          <w:tcPr>
            <w:tcW w:w="2260" w:type="dxa"/>
            <w:tcBorders>
              <w:top w:val="nil"/>
              <w:left w:val="nil"/>
              <w:bottom w:val="nil"/>
              <w:right w:val="nil"/>
            </w:tcBorders>
            <w:shd w:val="clear" w:color="auto" w:fill="auto"/>
            <w:noWrap/>
            <w:vAlign w:val="bottom"/>
            <w:hideMark/>
          </w:tcPr>
          <w:p w14:paraId="651DE94E" w14:textId="77777777" w:rsidR="007653D0" w:rsidRPr="0016235B" w:rsidRDefault="007653D0" w:rsidP="007653D0">
            <w:pPr>
              <w:spacing w:after="0" w:line="240" w:lineRule="auto"/>
              <w:rPr>
                <w:rFonts w:ascii="Candara" w:eastAsia="Times New Roman" w:hAnsi="Candara" w:cs="Calibri"/>
                <w:color w:val="000000"/>
                <w:sz w:val="20"/>
                <w:szCs w:val="20"/>
              </w:rPr>
            </w:pPr>
            <w:proofErr w:type="spellStart"/>
            <w:r w:rsidRPr="0016235B">
              <w:rPr>
                <w:rFonts w:ascii="Candara" w:eastAsia="Times New Roman" w:hAnsi="Candara" w:cs="Calibri"/>
                <w:color w:val="000000"/>
                <w:sz w:val="20"/>
                <w:szCs w:val="20"/>
              </w:rPr>
              <w:t>Mid East</w:t>
            </w:r>
            <w:proofErr w:type="spellEnd"/>
          </w:p>
        </w:tc>
        <w:tc>
          <w:tcPr>
            <w:tcW w:w="960" w:type="dxa"/>
            <w:tcBorders>
              <w:top w:val="nil"/>
              <w:left w:val="nil"/>
              <w:bottom w:val="nil"/>
              <w:right w:val="nil"/>
            </w:tcBorders>
            <w:shd w:val="clear" w:color="auto" w:fill="auto"/>
            <w:noWrap/>
            <w:vAlign w:val="bottom"/>
            <w:hideMark/>
          </w:tcPr>
          <w:p w14:paraId="478C434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17</w:t>
            </w:r>
          </w:p>
        </w:tc>
        <w:tc>
          <w:tcPr>
            <w:tcW w:w="1300" w:type="dxa"/>
            <w:tcBorders>
              <w:top w:val="nil"/>
              <w:left w:val="nil"/>
              <w:bottom w:val="nil"/>
              <w:right w:val="nil"/>
            </w:tcBorders>
            <w:shd w:val="clear" w:color="auto" w:fill="auto"/>
            <w:noWrap/>
            <w:vAlign w:val="bottom"/>
            <w:hideMark/>
          </w:tcPr>
          <w:p w14:paraId="6AFD005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1.02</w:t>
            </w:r>
          </w:p>
        </w:tc>
        <w:tc>
          <w:tcPr>
            <w:tcW w:w="960" w:type="dxa"/>
            <w:tcBorders>
              <w:top w:val="nil"/>
              <w:left w:val="nil"/>
              <w:bottom w:val="nil"/>
              <w:right w:val="nil"/>
            </w:tcBorders>
            <w:shd w:val="clear" w:color="auto" w:fill="auto"/>
            <w:noWrap/>
            <w:vAlign w:val="bottom"/>
            <w:hideMark/>
          </w:tcPr>
          <w:p w14:paraId="0703AAE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5.9</w:t>
            </w:r>
          </w:p>
        </w:tc>
        <w:tc>
          <w:tcPr>
            <w:tcW w:w="960" w:type="dxa"/>
            <w:tcBorders>
              <w:top w:val="nil"/>
              <w:left w:val="nil"/>
              <w:bottom w:val="nil"/>
              <w:right w:val="nil"/>
            </w:tcBorders>
            <w:shd w:val="clear" w:color="auto" w:fill="auto"/>
            <w:noWrap/>
            <w:vAlign w:val="bottom"/>
            <w:hideMark/>
          </w:tcPr>
          <w:p w14:paraId="32C045E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23.5</w:t>
            </w:r>
          </w:p>
        </w:tc>
        <w:tc>
          <w:tcPr>
            <w:tcW w:w="960" w:type="dxa"/>
            <w:tcBorders>
              <w:top w:val="nil"/>
              <w:left w:val="nil"/>
              <w:bottom w:val="nil"/>
              <w:right w:val="nil"/>
            </w:tcBorders>
            <w:shd w:val="clear" w:color="auto" w:fill="auto"/>
            <w:noWrap/>
            <w:vAlign w:val="bottom"/>
            <w:hideMark/>
          </w:tcPr>
          <w:p w14:paraId="1546443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35.3</w:t>
            </w:r>
          </w:p>
        </w:tc>
        <w:tc>
          <w:tcPr>
            <w:tcW w:w="960" w:type="dxa"/>
            <w:tcBorders>
              <w:top w:val="nil"/>
              <w:left w:val="nil"/>
              <w:bottom w:val="nil"/>
              <w:right w:val="nil"/>
            </w:tcBorders>
            <w:shd w:val="clear" w:color="auto" w:fill="auto"/>
            <w:noWrap/>
            <w:vAlign w:val="bottom"/>
            <w:hideMark/>
          </w:tcPr>
          <w:p w14:paraId="43B3227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17.7</w:t>
            </w:r>
          </w:p>
        </w:tc>
        <w:tc>
          <w:tcPr>
            <w:tcW w:w="960" w:type="dxa"/>
            <w:tcBorders>
              <w:top w:val="nil"/>
              <w:left w:val="nil"/>
              <w:bottom w:val="nil"/>
              <w:right w:val="nil"/>
            </w:tcBorders>
            <w:shd w:val="clear" w:color="auto" w:fill="auto"/>
            <w:noWrap/>
            <w:vAlign w:val="bottom"/>
            <w:hideMark/>
          </w:tcPr>
          <w:p w14:paraId="4A3EAD3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17.7</w:t>
            </w:r>
          </w:p>
        </w:tc>
      </w:tr>
      <w:tr w:rsidR="007653D0" w:rsidRPr="0016235B" w14:paraId="73DD9D6A" w14:textId="77777777" w:rsidTr="007653D0">
        <w:trPr>
          <w:trHeight w:val="300"/>
        </w:trPr>
        <w:tc>
          <w:tcPr>
            <w:tcW w:w="2260" w:type="dxa"/>
            <w:tcBorders>
              <w:top w:val="nil"/>
              <w:left w:val="nil"/>
              <w:bottom w:val="nil"/>
              <w:right w:val="nil"/>
            </w:tcBorders>
            <w:shd w:val="clear" w:color="auto" w:fill="auto"/>
            <w:noWrap/>
            <w:vAlign w:val="bottom"/>
            <w:hideMark/>
          </w:tcPr>
          <w:p w14:paraId="584E3C7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Mid-North</w:t>
            </w:r>
          </w:p>
        </w:tc>
        <w:tc>
          <w:tcPr>
            <w:tcW w:w="960" w:type="dxa"/>
            <w:tcBorders>
              <w:top w:val="nil"/>
              <w:left w:val="nil"/>
              <w:bottom w:val="nil"/>
              <w:right w:val="nil"/>
            </w:tcBorders>
            <w:shd w:val="clear" w:color="auto" w:fill="auto"/>
            <w:noWrap/>
            <w:vAlign w:val="bottom"/>
            <w:hideMark/>
          </w:tcPr>
          <w:p w14:paraId="4C71E53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w:t>
            </w:r>
          </w:p>
        </w:tc>
        <w:tc>
          <w:tcPr>
            <w:tcW w:w="1300" w:type="dxa"/>
            <w:tcBorders>
              <w:top w:val="nil"/>
              <w:left w:val="nil"/>
              <w:bottom w:val="nil"/>
              <w:right w:val="nil"/>
            </w:tcBorders>
            <w:shd w:val="clear" w:color="auto" w:fill="auto"/>
            <w:noWrap/>
            <w:vAlign w:val="bottom"/>
            <w:hideMark/>
          </w:tcPr>
          <w:p w14:paraId="487335D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0.91</w:t>
            </w:r>
          </w:p>
        </w:tc>
        <w:tc>
          <w:tcPr>
            <w:tcW w:w="960" w:type="dxa"/>
            <w:tcBorders>
              <w:top w:val="nil"/>
              <w:left w:val="nil"/>
              <w:bottom w:val="nil"/>
              <w:right w:val="nil"/>
            </w:tcBorders>
            <w:shd w:val="clear" w:color="auto" w:fill="auto"/>
            <w:noWrap/>
            <w:vAlign w:val="bottom"/>
            <w:hideMark/>
          </w:tcPr>
          <w:p w14:paraId="06E632A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13.3</w:t>
            </w:r>
          </w:p>
        </w:tc>
        <w:tc>
          <w:tcPr>
            <w:tcW w:w="960" w:type="dxa"/>
            <w:tcBorders>
              <w:top w:val="nil"/>
              <w:left w:val="nil"/>
              <w:bottom w:val="nil"/>
              <w:right w:val="nil"/>
            </w:tcBorders>
            <w:shd w:val="clear" w:color="auto" w:fill="auto"/>
            <w:noWrap/>
            <w:vAlign w:val="bottom"/>
            <w:hideMark/>
          </w:tcPr>
          <w:p w14:paraId="48331D6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960" w:type="dxa"/>
            <w:tcBorders>
              <w:top w:val="nil"/>
              <w:left w:val="nil"/>
              <w:bottom w:val="nil"/>
              <w:right w:val="nil"/>
            </w:tcBorders>
            <w:shd w:val="clear" w:color="auto" w:fill="auto"/>
            <w:noWrap/>
            <w:vAlign w:val="bottom"/>
            <w:hideMark/>
          </w:tcPr>
          <w:p w14:paraId="6BFC746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53.3</w:t>
            </w:r>
          </w:p>
        </w:tc>
        <w:tc>
          <w:tcPr>
            <w:tcW w:w="960" w:type="dxa"/>
            <w:tcBorders>
              <w:top w:val="nil"/>
              <w:left w:val="nil"/>
              <w:bottom w:val="nil"/>
              <w:right w:val="nil"/>
            </w:tcBorders>
            <w:shd w:val="clear" w:color="auto" w:fill="auto"/>
            <w:noWrap/>
            <w:vAlign w:val="bottom"/>
            <w:hideMark/>
          </w:tcPr>
          <w:p w14:paraId="4F0A67C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6.7</w:t>
            </w:r>
          </w:p>
        </w:tc>
        <w:tc>
          <w:tcPr>
            <w:tcW w:w="960" w:type="dxa"/>
            <w:tcBorders>
              <w:top w:val="nil"/>
              <w:left w:val="nil"/>
              <w:bottom w:val="nil"/>
              <w:right w:val="nil"/>
            </w:tcBorders>
            <w:shd w:val="clear" w:color="auto" w:fill="auto"/>
            <w:noWrap/>
            <w:vAlign w:val="bottom"/>
            <w:hideMark/>
          </w:tcPr>
          <w:p w14:paraId="5D3C783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6.7</w:t>
            </w:r>
          </w:p>
        </w:tc>
      </w:tr>
      <w:tr w:rsidR="007653D0" w:rsidRPr="0016235B" w14:paraId="6D7052A9" w14:textId="77777777" w:rsidTr="007653D0">
        <w:trPr>
          <w:trHeight w:val="300"/>
        </w:trPr>
        <w:tc>
          <w:tcPr>
            <w:tcW w:w="2260" w:type="dxa"/>
            <w:tcBorders>
              <w:top w:val="nil"/>
              <w:left w:val="nil"/>
              <w:bottom w:val="nil"/>
              <w:right w:val="nil"/>
            </w:tcBorders>
            <w:shd w:val="clear" w:color="auto" w:fill="auto"/>
            <w:noWrap/>
            <w:vAlign w:val="bottom"/>
            <w:hideMark/>
          </w:tcPr>
          <w:p w14:paraId="17ECE2DF"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Mid-West</w:t>
            </w:r>
          </w:p>
        </w:tc>
        <w:tc>
          <w:tcPr>
            <w:tcW w:w="960" w:type="dxa"/>
            <w:tcBorders>
              <w:top w:val="nil"/>
              <w:left w:val="nil"/>
              <w:bottom w:val="nil"/>
              <w:right w:val="nil"/>
            </w:tcBorders>
            <w:shd w:val="clear" w:color="auto" w:fill="auto"/>
            <w:noWrap/>
            <w:vAlign w:val="bottom"/>
            <w:hideMark/>
          </w:tcPr>
          <w:p w14:paraId="75C8461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w:t>
            </w:r>
          </w:p>
        </w:tc>
        <w:tc>
          <w:tcPr>
            <w:tcW w:w="1300" w:type="dxa"/>
            <w:tcBorders>
              <w:top w:val="nil"/>
              <w:left w:val="nil"/>
              <w:bottom w:val="nil"/>
              <w:right w:val="nil"/>
            </w:tcBorders>
            <w:shd w:val="clear" w:color="auto" w:fill="auto"/>
            <w:noWrap/>
            <w:vAlign w:val="bottom"/>
            <w:hideMark/>
          </w:tcPr>
          <w:p w14:paraId="1F370D8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960" w:type="dxa"/>
            <w:tcBorders>
              <w:top w:val="nil"/>
              <w:left w:val="nil"/>
              <w:bottom w:val="nil"/>
              <w:right w:val="nil"/>
            </w:tcBorders>
            <w:shd w:val="clear" w:color="auto" w:fill="auto"/>
            <w:noWrap/>
            <w:vAlign w:val="bottom"/>
            <w:hideMark/>
          </w:tcPr>
          <w:p w14:paraId="1E0F781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22.2</w:t>
            </w:r>
          </w:p>
        </w:tc>
        <w:tc>
          <w:tcPr>
            <w:tcW w:w="960" w:type="dxa"/>
            <w:tcBorders>
              <w:top w:val="nil"/>
              <w:left w:val="nil"/>
              <w:bottom w:val="nil"/>
              <w:right w:val="nil"/>
            </w:tcBorders>
            <w:shd w:val="clear" w:color="auto" w:fill="auto"/>
            <w:noWrap/>
            <w:vAlign w:val="bottom"/>
            <w:hideMark/>
          </w:tcPr>
          <w:p w14:paraId="528002F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44.4</w:t>
            </w:r>
          </w:p>
        </w:tc>
        <w:tc>
          <w:tcPr>
            <w:tcW w:w="960" w:type="dxa"/>
            <w:tcBorders>
              <w:top w:val="nil"/>
              <w:left w:val="nil"/>
              <w:bottom w:val="nil"/>
              <w:right w:val="nil"/>
            </w:tcBorders>
            <w:shd w:val="clear" w:color="auto" w:fill="auto"/>
            <w:noWrap/>
            <w:vAlign w:val="bottom"/>
            <w:hideMark/>
          </w:tcPr>
          <w:p w14:paraId="13FDD4E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0BDD9DB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4FF7B89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r>
      <w:tr w:rsidR="007653D0" w:rsidRPr="0016235B" w14:paraId="2A275922" w14:textId="77777777" w:rsidTr="007653D0">
        <w:trPr>
          <w:trHeight w:val="300"/>
        </w:trPr>
        <w:tc>
          <w:tcPr>
            <w:tcW w:w="2260" w:type="dxa"/>
            <w:tcBorders>
              <w:top w:val="nil"/>
              <w:left w:val="nil"/>
              <w:bottom w:val="nil"/>
              <w:right w:val="nil"/>
            </w:tcBorders>
            <w:shd w:val="clear" w:color="auto" w:fill="auto"/>
            <w:noWrap/>
            <w:vAlign w:val="bottom"/>
            <w:hideMark/>
          </w:tcPr>
          <w:p w14:paraId="0920223F"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North East</w:t>
            </w:r>
          </w:p>
        </w:tc>
        <w:tc>
          <w:tcPr>
            <w:tcW w:w="960" w:type="dxa"/>
            <w:tcBorders>
              <w:top w:val="nil"/>
              <w:left w:val="nil"/>
              <w:bottom w:val="nil"/>
              <w:right w:val="nil"/>
            </w:tcBorders>
            <w:shd w:val="clear" w:color="auto" w:fill="auto"/>
            <w:noWrap/>
            <w:vAlign w:val="bottom"/>
            <w:hideMark/>
          </w:tcPr>
          <w:p w14:paraId="30CE805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w:t>
            </w:r>
          </w:p>
        </w:tc>
        <w:tc>
          <w:tcPr>
            <w:tcW w:w="1300" w:type="dxa"/>
            <w:tcBorders>
              <w:top w:val="nil"/>
              <w:left w:val="nil"/>
              <w:bottom w:val="nil"/>
              <w:right w:val="nil"/>
            </w:tcBorders>
            <w:shd w:val="clear" w:color="auto" w:fill="auto"/>
            <w:noWrap/>
            <w:vAlign w:val="bottom"/>
            <w:hideMark/>
          </w:tcPr>
          <w:p w14:paraId="7D1D441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960" w:type="dxa"/>
            <w:tcBorders>
              <w:top w:val="nil"/>
              <w:left w:val="nil"/>
              <w:bottom w:val="nil"/>
              <w:right w:val="nil"/>
            </w:tcBorders>
            <w:shd w:val="clear" w:color="auto" w:fill="auto"/>
            <w:noWrap/>
            <w:vAlign w:val="bottom"/>
            <w:hideMark/>
          </w:tcPr>
          <w:p w14:paraId="66CA2E0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755580C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960" w:type="dxa"/>
            <w:tcBorders>
              <w:top w:val="nil"/>
              <w:left w:val="nil"/>
              <w:bottom w:val="nil"/>
              <w:right w:val="nil"/>
            </w:tcBorders>
            <w:shd w:val="clear" w:color="auto" w:fill="auto"/>
            <w:noWrap/>
            <w:vAlign w:val="bottom"/>
            <w:hideMark/>
          </w:tcPr>
          <w:p w14:paraId="6C39A31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960" w:type="dxa"/>
            <w:tcBorders>
              <w:top w:val="nil"/>
              <w:left w:val="nil"/>
              <w:bottom w:val="nil"/>
              <w:right w:val="nil"/>
            </w:tcBorders>
            <w:shd w:val="clear" w:color="auto" w:fill="auto"/>
            <w:noWrap/>
            <w:vAlign w:val="bottom"/>
            <w:hideMark/>
          </w:tcPr>
          <w:p w14:paraId="7A3272B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960" w:type="dxa"/>
            <w:tcBorders>
              <w:top w:val="nil"/>
              <w:left w:val="nil"/>
              <w:bottom w:val="nil"/>
              <w:right w:val="nil"/>
            </w:tcBorders>
            <w:shd w:val="clear" w:color="auto" w:fill="auto"/>
            <w:noWrap/>
            <w:vAlign w:val="bottom"/>
            <w:hideMark/>
          </w:tcPr>
          <w:p w14:paraId="7C67835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7A18890E" w14:textId="77777777" w:rsidTr="007653D0">
        <w:trPr>
          <w:trHeight w:val="300"/>
        </w:trPr>
        <w:tc>
          <w:tcPr>
            <w:tcW w:w="2260" w:type="dxa"/>
            <w:tcBorders>
              <w:top w:val="nil"/>
              <w:left w:val="nil"/>
              <w:bottom w:val="nil"/>
              <w:right w:val="nil"/>
            </w:tcBorders>
            <w:shd w:val="clear" w:color="auto" w:fill="auto"/>
            <w:noWrap/>
            <w:vAlign w:val="bottom"/>
            <w:hideMark/>
          </w:tcPr>
          <w:p w14:paraId="429338CE"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South West</w:t>
            </w:r>
          </w:p>
        </w:tc>
        <w:tc>
          <w:tcPr>
            <w:tcW w:w="960" w:type="dxa"/>
            <w:tcBorders>
              <w:top w:val="nil"/>
              <w:left w:val="nil"/>
              <w:bottom w:val="nil"/>
              <w:right w:val="nil"/>
            </w:tcBorders>
            <w:shd w:val="clear" w:color="auto" w:fill="auto"/>
            <w:noWrap/>
            <w:vAlign w:val="bottom"/>
            <w:hideMark/>
          </w:tcPr>
          <w:p w14:paraId="24F70D4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w:t>
            </w:r>
          </w:p>
        </w:tc>
        <w:tc>
          <w:tcPr>
            <w:tcW w:w="1300" w:type="dxa"/>
            <w:tcBorders>
              <w:top w:val="nil"/>
              <w:left w:val="nil"/>
              <w:bottom w:val="nil"/>
              <w:right w:val="nil"/>
            </w:tcBorders>
            <w:shd w:val="clear" w:color="auto" w:fill="auto"/>
            <w:noWrap/>
            <w:vAlign w:val="bottom"/>
            <w:hideMark/>
          </w:tcPr>
          <w:p w14:paraId="34C6345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1.01</w:t>
            </w:r>
          </w:p>
        </w:tc>
        <w:tc>
          <w:tcPr>
            <w:tcW w:w="960" w:type="dxa"/>
            <w:tcBorders>
              <w:top w:val="nil"/>
              <w:left w:val="nil"/>
              <w:bottom w:val="nil"/>
              <w:right w:val="nil"/>
            </w:tcBorders>
            <w:shd w:val="clear" w:color="auto" w:fill="auto"/>
            <w:noWrap/>
            <w:vAlign w:val="bottom"/>
            <w:hideMark/>
          </w:tcPr>
          <w:p w14:paraId="32D2C0A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w:t>
            </w:r>
          </w:p>
        </w:tc>
        <w:tc>
          <w:tcPr>
            <w:tcW w:w="960" w:type="dxa"/>
            <w:tcBorders>
              <w:top w:val="nil"/>
              <w:left w:val="nil"/>
              <w:bottom w:val="nil"/>
              <w:right w:val="nil"/>
            </w:tcBorders>
            <w:shd w:val="clear" w:color="auto" w:fill="auto"/>
            <w:noWrap/>
            <w:vAlign w:val="bottom"/>
            <w:hideMark/>
          </w:tcPr>
          <w:p w14:paraId="5A349DD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15.0</w:t>
            </w:r>
          </w:p>
        </w:tc>
        <w:tc>
          <w:tcPr>
            <w:tcW w:w="960" w:type="dxa"/>
            <w:tcBorders>
              <w:top w:val="nil"/>
              <w:left w:val="nil"/>
              <w:bottom w:val="nil"/>
              <w:right w:val="nil"/>
            </w:tcBorders>
            <w:shd w:val="clear" w:color="auto" w:fill="auto"/>
            <w:noWrap/>
            <w:vAlign w:val="bottom"/>
            <w:hideMark/>
          </w:tcPr>
          <w:p w14:paraId="2F98AB5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60.0</w:t>
            </w:r>
          </w:p>
        </w:tc>
        <w:tc>
          <w:tcPr>
            <w:tcW w:w="960" w:type="dxa"/>
            <w:tcBorders>
              <w:top w:val="nil"/>
              <w:left w:val="nil"/>
              <w:bottom w:val="nil"/>
              <w:right w:val="nil"/>
            </w:tcBorders>
            <w:shd w:val="clear" w:color="auto" w:fill="auto"/>
            <w:noWrap/>
            <w:vAlign w:val="bottom"/>
            <w:hideMark/>
          </w:tcPr>
          <w:p w14:paraId="0EF1AE6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960" w:type="dxa"/>
            <w:tcBorders>
              <w:top w:val="nil"/>
              <w:left w:val="nil"/>
              <w:bottom w:val="nil"/>
              <w:right w:val="nil"/>
            </w:tcBorders>
            <w:shd w:val="clear" w:color="auto" w:fill="auto"/>
            <w:noWrap/>
            <w:vAlign w:val="bottom"/>
            <w:hideMark/>
          </w:tcPr>
          <w:p w14:paraId="68BB723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r>
      <w:tr w:rsidR="007653D0" w:rsidRPr="0016235B" w14:paraId="30CEB771" w14:textId="77777777" w:rsidTr="007653D0">
        <w:trPr>
          <w:trHeight w:val="300"/>
        </w:trPr>
        <w:tc>
          <w:tcPr>
            <w:tcW w:w="2260" w:type="dxa"/>
            <w:tcBorders>
              <w:top w:val="nil"/>
              <w:left w:val="nil"/>
              <w:bottom w:val="nil"/>
              <w:right w:val="nil"/>
            </w:tcBorders>
            <w:shd w:val="clear" w:color="auto" w:fill="auto"/>
            <w:noWrap/>
            <w:vAlign w:val="bottom"/>
            <w:hideMark/>
          </w:tcPr>
          <w:p w14:paraId="1A4ED45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West Nile</w:t>
            </w:r>
          </w:p>
        </w:tc>
        <w:tc>
          <w:tcPr>
            <w:tcW w:w="960" w:type="dxa"/>
            <w:tcBorders>
              <w:top w:val="nil"/>
              <w:left w:val="nil"/>
              <w:bottom w:val="nil"/>
              <w:right w:val="nil"/>
            </w:tcBorders>
            <w:shd w:val="clear" w:color="auto" w:fill="auto"/>
            <w:noWrap/>
            <w:vAlign w:val="bottom"/>
            <w:hideMark/>
          </w:tcPr>
          <w:p w14:paraId="5D343FE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w:t>
            </w:r>
          </w:p>
        </w:tc>
        <w:tc>
          <w:tcPr>
            <w:tcW w:w="1300" w:type="dxa"/>
            <w:tcBorders>
              <w:top w:val="nil"/>
              <w:left w:val="nil"/>
              <w:bottom w:val="nil"/>
              <w:right w:val="nil"/>
            </w:tcBorders>
            <w:shd w:val="clear" w:color="auto" w:fill="auto"/>
            <w:noWrap/>
            <w:vAlign w:val="bottom"/>
            <w:hideMark/>
          </w:tcPr>
          <w:p w14:paraId="3884734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0.87</w:t>
            </w:r>
          </w:p>
        </w:tc>
        <w:tc>
          <w:tcPr>
            <w:tcW w:w="960" w:type="dxa"/>
            <w:tcBorders>
              <w:top w:val="nil"/>
              <w:left w:val="nil"/>
              <w:bottom w:val="nil"/>
              <w:right w:val="nil"/>
            </w:tcBorders>
            <w:shd w:val="clear" w:color="auto" w:fill="auto"/>
            <w:noWrap/>
            <w:vAlign w:val="bottom"/>
            <w:hideMark/>
          </w:tcPr>
          <w:p w14:paraId="4C468BD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960" w:type="dxa"/>
            <w:tcBorders>
              <w:top w:val="nil"/>
              <w:left w:val="nil"/>
              <w:bottom w:val="nil"/>
              <w:right w:val="nil"/>
            </w:tcBorders>
            <w:shd w:val="clear" w:color="auto" w:fill="auto"/>
            <w:noWrap/>
            <w:vAlign w:val="bottom"/>
            <w:hideMark/>
          </w:tcPr>
          <w:p w14:paraId="49704B7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740B03B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44.4</w:t>
            </w:r>
          </w:p>
        </w:tc>
        <w:tc>
          <w:tcPr>
            <w:tcW w:w="960" w:type="dxa"/>
            <w:tcBorders>
              <w:top w:val="nil"/>
              <w:left w:val="nil"/>
              <w:bottom w:val="nil"/>
              <w:right w:val="nil"/>
            </w:tcBorders>
            <w:shd w:val="clear" w:color="auto" w:fill="auto"/>
            <w:noWrap/>
            <w:vAlign w:val="bottom"/>
            <w:hideMark/>
          </w:tcPr>
          <w:p w14:paraId="65998EB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4F05E92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3D1EF882" w14:textId="77777777" w:rsidTr="007653D0">
        <w:trPr>
          <w:trHeight w:val="300"/>
        </w:trPr>
        <w:tc>
          <w:tcPr>
            <w:tcW w:w="2260" w:type="dxa"/>
            <w:tcBorders>
              <w:top w:val="nil"/>
              <w:left w:val="nil"/>
              <w:bottom w:val="nil"/>
              <w:right w:val="nil"/>
            </w:tcBorders>
            <w:shd w:val="clear" w:color="000000" w:fill="E7E6E6"/>
            <w:noWrap/>
            <w:vAlign w:val="bottom"/>
            <w:hideMark/>
          </w:tcPr>
          <w:p w14:paraId="056032F6"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xml:space="preserve">Uganda </w:t>
            </w:r>
          </w:p>
        </w:tc>
        <w:tc>
          <w:tcPr>
            <w:tcW w:w="960" w:type="dxa"/>
            <w:tcBorders>
              <w:top w:val="nil"/>
              <w:left w:val="nil"/>
              <w:bottom w:val="nil"/>
              <w:right w:val="nil"/>
            </w:tcBorders>
            <w:shd w:val="clear" w:color="000000" w:fill="E7E6E6"/>
            <w:noWrap/>
            <w:vAlign w:val="bottom"/>
            <w:hideMark/>
          </w:tcPr>
          <w:p w14:paraId="568FB0B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117</w:t>
            </w:r>
          </w:p>
        </w:tc>
        <w:tc>
          <w:tcPr>
            <w:tcW w:w="1300" w:type="dxa"/>
            <w:tcBorders>
              <w:top w:val="nil"/>
              <w:left w:val="nil"/>
              <w:bottom w:val="nil"/>
              <w:right w:val="nil"/>
            </w:tcBorders>
            <w:shd w:val="clear" w:color="000000" w:fill="E7E6E6"/>
            <w:noWrap/>
            <w:vAlign w:val="bottom"/>
            <w:hideMark/>
          </w:tcPr>
          <w:p w14:paraId="617BB39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960" w:type="dxa"/>
            <w:tcBorders>
              <w:top w:val="nil"/>
              <w:left w:val="nil"/>
              <w:bottom w:val="nil"/>
              <w:right w:val="nil"/>
            </w:tcBorders>
            <w:shd w:val="clear" w:color="000000" w:fill="E7E6E6"/>
            <w:noWrap/>
            <w:vAlign w:val="bottom"/>
            <w:hideMark/>
          </w:tcPr>
          <w:p w14:paraId="61A5E13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16.2</w:t>
            </w:r>
          </w:p>
        </w:tc>
        <w:tc>
          <w:tcPr>
            <w:tcW w:w="960" w:type="dxa"/>
            <w:tcBorders>
              <w:top w:val="nil"/>
              <w:left w:val="nil"/>
              <w:bottom w:val="nil"/>
              <w:right w:val="nil"/>
            </w:tcBorders>
            <w:shd w:val="clear" w:color="000000" w:fill="E7E6E6"/>
            <w:noWrap/>
            <w:vAlign w:val="bottom"/>
            <w:hideMark/>
          </w:tcPr>
          <w:p w14:paraId="33BE567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20.5</w:t>
            </w:r>
          </w:p>
        </w:tc>
        <w:tc>
          <w:tcPr>
            <w:tcW w:w="960" w:type="dxa"/>
            <w:tcBorders>
              <w:top w:val="nil"/>
              <w:left w:val="nil"/>
              <w:bottom w:val="nil"/>
              <w:right w:val="nil"/>
            </w:tcBorders>
            <w:shd w:val="clear" w:color="000000" w:fill="E7E6E6"/>
            <w:noWrap/>
            <w:vAlign w:val="bottom"/>
            <w:hideMark/>
          </w:tcPr>
          <w:p w14:paraId="28072E3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40.2</w:t>
            </w:r>
          </w:p>
        </w:tc>
        <w:tc>
          <w:tcPr>
            <w:tcW w:w="960" w:type="dxa"/>
            <w:tcBorders>
              <w:top w:val="nil"/>
              <w:left w:val="nil"/>
              <w:bottom w:val="nil"/>
              <w:right w:val="nil"/>
            </w:tcBorders>
            <w:shd w:val="clear" w:color="000000" w:fill="E7E6E6"/>
            <w:noWrap/>
            <w:vAlign w:val="bottom"/>
            <w:hideMark/>
          </w:tcPr>
          <w:p w14:paraId="3685469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13.7</w:t>
            </w:r>
          </w:p>
        </w:tc>
        <w:tc>
          <w:tcPr>
            <w:tcW w:w="960" w:type="dxa"/>
            <w:tcBorders>
              <w:top w:val="nil"/>
              <w:left w:val="nil"/>
              <w:bottom w:val="nil"/>
              <w:right w:val="nil"/>
            </w:tcBorders>
            <w:shd w:val="clear" w:color="000000" w:fill="E7E6E6"/>
            <w:noWrap/>
            <w:vAlign w:val="bottom"/>
            <w:hideMark/>
          </w:tcPr>
          <w:p w14:paraId="31F2727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9.4</w:t>
            </w:r>
          </w:p>
        </w:tc>
      </w:tr>
    </w:tbl>
    <w:p w14:paraId="6830578F" w14:textId="77777777" w:rsidR="007653D0" w:rsidRPr="0016235B" w:rsidRDefault="007653D0" w:rsidP="005722F2">
      <w:pPr>
        <w:pStyle w:val="ListParagraph"/>
        <w:numPr>
          <w:ilvl w:val="0"/>
          <w:numId w:val="33"/>
        </w:numPr>
        <w:rPr>
          <w:rFonts w:ascii="Candara" w:hAnsi="Candara"/>
        </w:rPr>
      </w:pPr>
      <w:r w:rsidRPr="0016235B">
        <w:rPr>
          <w:rFonts w:ascii="Candara" w:hAnsi="Candara"/>
        </w:rPr>
        <w:t>40.2% of the facilities had matching reporting figures.</w:t>
      </w:r>
    </w:p>
    <w:p w14:paraId="219BFBF7" w14:textId="77777777" w:rsidR="007653D0" w:rsidRPr="0016235B" w:rsidRDefault="007653D0" w:rsidP="005722F2">
      <w:pPr>
        <w:pStyle w:val="ListParagraph"/>
        <w:numPr>
          <w:ilvl w:val="0"/>
          <w:numId w:val="33"/>
        </w:numPr>
        <w:rPr>
          <w:rFonts w:ascii="Candara" w:hAnsi="Candara"/>
        </w:rPr>
      </w:pPr>
      <w:r w:rsidRPr="0016235B">
        <w:rPr>
          <w:rFonts w:ascii="Candara" w:hAnsi="Candara"/>
        </w:rPr>
        <w:t>23.1% of the facilities were over reporting while 36.7% were under reporting.</w:t>
      </w:r>
    </w:p>
    <w:p w14:paraId="781E0599" w14:textId="77777777" w:rsidR="007653D0" w:rsidRPr="0016235B" w:rsidRDefault="007653D0" w:rsidP="005722F2">
      <w:pPr>
        <w:pStyle w:val="ListParagraph"/>
        <w:numPr>
          <w:ilvl w:val="0"/>
          <w:numId w:val="33"/>
        </w:numPr>
        <w:rPr>
          <w:rFonts w:ascii="Candara" w:hAnsi="Candara"/>
        </w:rPr>
      </w:pPr>
      <w:r w:rsidRPr="0016235B">
        <w:rPr>
          <w:rFonts w:ascii="Candara" w:hAnsi="Candara"/>
        </w:rPr>
        <w:t>16.2% of the facilities were over reporting by over 10% and 9.4% under reporting by over 10%.</w:t>
      </w:r>
    </w:p>
    <w:p w14:paraId="32C9BABD" w14:textId="77777777" w:rsidR="007653D0" w:rsidRPr="0016235B" w:rsidRDefault="007653D0" w:rsidP="007653D0">
      <w:pPr>
        <w:ind w:left="360"/>
        <w:jc w:val="both"/>
        <w:rPr>
          <w:rFonts w:ascii="Candara" w:hAnsi="Candara"/>
          <w:b/>
          <w:bCs/>
          <w:sz w:val="24"/>
          <w:szCs w:val="24"/>
        </w:rPr>
      </w:pPr>
    </w:p>
    <w:p w14:paraId="000DBDC1" w14:textId="77777777" w:rsidR="007653D0" w:rsidRPr="0016235B" w:rsidRDefault="007653D0" w:rsidP="007653D0">
      <w:pPr>
        <w:jc w:val="both"/>
        <w:rPr>
          <w:rFonts w:ascii="Candara" w:hAnsi="Candara"/>
          <w:b/>
          <w:bCs/>
          <w:sz w:val="24"/>
          <w:szCs w:val="24"/>
        </w:rPr>
      </w:pPr>
    </w:p>
    <w:p w14:paraId="2A354777" w14:textId="77777777" w:rsidR="007653D0" w:rsidRPr="0016235B" w:rsidRDefault="007653D0" w:rsidP="007653D0">
      <w:pPr>
        <w:jc w:val="both"/>
        <w:rPr>
          <w:rFonts w:ascii="Candara" w:hAnsi="Candara"/>
          <w:b/>
          <w:bCs/>
          <w:sz w:val="24"/>
          <w:szCs w:val="24"/>
        </w:rPr>
      </w:pPr>
    </w:p>
    <w:p w14:paraId="59037C78" w14:textId="77777777" w:rsidR="007653D0" w:rsidRPr="0016235B" w:rsidRDefault="007653D0" w:rsidP="007653D0">
      <w:pPr>
        <w:jc w:val="both"/>
        <w:rPr>
          <w:rFonts w:ascii="Candara" w:hAnsi="Candara"/>
          <w:b/>
          <w:bCs/>
          <w:sz w:val="24"/>
          <w:szCs w:val="24"/>
        </w:rPr>
      </w:pPr>
    </w:p>
    <w:p w14:paraId="75CADFB5" w14:textId="77777777" w:rsidR="007653D0" w:rsidRPr="0016235B" w:rsidRDefault="007653D0" w:rsidP="007653D0">
      <w:pPr>
        <w:jc w:val="both"/>
        <w:rPr>
          <w:rFonts w:ascii="Candara" w:hAnsi="Candara"/>
          <w:b/>
          <w:bCs/>
          <w:sz w:val="24"/>
          <w:szCs w:val="24"/>
        </w:rPr>
      </w:pPr>
    </w:p>
    <w:p w14:paraId="02F513FA" w14:textId="77777777" w:rsidR="007653D0" w:rsidRPr="0016235B" w:rsidRDefault="007653D0" w:rsidP="007653D0">
      <w:pPr>
        <w:jc w:val="both"/>
        <w:rPr>
          <w:rFonts w:ascii="Candara" w:hAnsi="Candara"/>
          <w:b/>
          <w:bCs/>
          <w:sz w:val="24"/>
          <w:szCs w:val="24"/>
        </w:rPr>
      </w:pPr>
    </w:p>
    <w:p w14:paraId="0F0BFC9F" w14:textId="77777777" w:rsidR="007653D0" w:rsidRPr="0016235B" w:rsidRDefault="007653D0" w:rsidP="007653D0">
      <w:pPr>
        <w:jc w:val="both"/>
        <w:rPr>
          <w:rFonts w:ascii="Candara" w:hAnsi="Candara"/>
          <w:b/>
          <w:bCs/>
          <w:sz w:val="24"/>
          <w:szCs w:val="24"/>
        </w:rPr>
      </w:pPr>
    </w:p>
    <w:p w14:paraId="59E705FA" w14:textId="77777777" w:rsidR="007653D0" w:rsidRPr="0016235B" w:rsidRDefault="007653D0" w:rsidP="00B8030E">
      <w:pPr>
        <w:pStyle w:val="Heading3"/>
        <w:rPr>
          <w:rFonts w:ascii="Candara" w:hAnsi="Candara"/>
          <w:b/>
        </w:rPr>
      </w:pPr>
      <w:bookmarkStart w:id="63" w:name="_Toc11494068"/>
      <w:r w:rsidRPr="0016235B">
        <w:rPr>
          <w:rFonts w:ascii="Candara" w:hAnsi="Candara"/>
          <w:b/>
        </w:rPr>
        <w:t>4.212 Immunization: Pentavalent vaccine third dose in children under one year</w:t>
      </w:r>
      <w:bookmarkEnd w:id="63"/>
    </w:p>
    <w:p w14:paraId="0EDD2ABB"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Figure xxx: Percentage of facilities reporting on Immunization services to national HMIS</w:t>
      </w:r>
    </w:p>
    <w:p w14:paraId="55BCF26B" w14:textId="77777777" w:rsidR="007653D0" w:rsidRPr="0016235B" w:rsidRDefault="007653D0" w:rsidP="007653D0">
      <w:pPr>
        <w:jc w:val="both"/>
        <w:rPr>
          <w:rFonts w:ascii="Candara" w:hAnsi="Candara"/>
          <w:b/>
          <w:bCs/>
          <w:sz w:val="24"/>
          <w:szCs w:val="24"/>
        </w:rPr>
      </w:pPr>
      <w:r w:rsidRPr="0016235B">
        <w:rPr>
          <w:rFonts w:ascii="Candara" w:hAnsi="Candara"/>
          <w:noProof/>
          <w:sz w:val="24"/>
          <w:szCs w:val="24"/>
        </w:rPr>
        <w:drawing>
          <wp:inline distT="0" distB="0" distL="0" distR="0" wp14:anchorId="3B3FC32B" wp14:editId="182F199F">
            <wp:extent cx="5943600" cy="3638550"/>
            <wp:effectExtent l="0" t="0" r="0" b="0"/>
            <wp:docPr id="28" name="Chart 28">
              <a:extLst xmlns:a="http://schemas.openxmlformats.org/drawingml/2006/main">
                <a:ext uri="{FF2B5EF4-FFF2-40B4-BE49-F238E27FC236}">
                  <a16:creationId xmlns:a16="http://schemas.microsoft.com/office/drawing/2014/main" id="{A5287FF4-1D01-4656-A103-0207CE9064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4CACCC56" w14:textId="77777777" w:rsidR="007653D0" w:rsidRPr="0016235B" w:rsidRDefault="007653D0" w:rsidP="007653D0">
      <w:pPr>
        <w:jc w:val="both"/>
        <w:rPr>
          <w:rFonts w:ascii="Candara" w:hAnsi="Candara"/>
          <w:sz w:val="24"/>
          <w:szCs w:val="24"/>
        </w:rPr>
      </w:pPr>
      <w:r w:rsidRPr="0016235B">
        <w:rPr>
          <w:rFonts w:ascii="Candara" w:hAnsi="Candara"/>
          <w:sz w:val="24"/>
          <w:szCs w:val="24"/>
        </w:rPr>
        <w:t xml:space="preserve">Nationally, 98% of the facilities offering immunization services report through HMIS. </w:t>
      </w:r>
    </w:p>
    <w:p w14:paraId="1C27D470" w14:textId="7D543A0A" w:rsidR="007653D0" w:rsidRPr="0016235B" w:rsidRDefault="007653D0" w:rsidP="007653D0">
      <w:pPr>
        <w:jc w:val="both"/>
        <w:rPr>
          <w:rFonts w:ascii="Candara" w:hAnsi="Candara"/>
          <w:sz w:val="24"/>
          <w:szCs w:val="24"/>
        </w:rPr>
      </w:pPr>
      <w:r w:rsidRPr="0016235B">
        <w:rPr>
          <w:rFonts w:ascii="Candara" w:hAnsi="Candara"/>
          <w:sz w:val="24"/>
          <w:szCs w:val="24"/>
        </w:rPr>
        <w:t xml:space="preserve">11% of the facilities in the </w:t>
      </w:r>
      <w:r w:rsidR="008B3482" w:rsidRPr="0016235B">
        <w:rPr>
          <w:rFonts w:ascii="Candara" w:hAnsi="Candara"/>
          <w:sz w:val="24"/>
          <w:szCs w:val="24"/>
        </w:rPr>
        <w:t>Mid-East</w:t>
      </w:r>
      <w:r w:rsidRPr="0016235B">
        <w:rPr>
          <w:rFonts w:ascii="Candara" w:hAnsi="Candara"/>
          <w:sz w:val="24"/>
          <w:szCs w:val="24"/>
        </w:rPr>
        <w:t xml:space="preserve"> and 6% in Kampala do not report. Similarly, 4% of general hospitals and HCIVs do not report.</w:t>
      </w:r>
    </w:p>
    <w:p w14:paraId="3F0D9452"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Figure xxx: Availability of Immunization source documents and reporting forms</w:t>
      </w:r>
    </w:p>
    <w:p w14:paraId="06FFDA25" w14:textId="77777777" w:rsidR="007653D0" w:rsidRPr="0016235B" w:rsidRDefault="007653D0" w:rsidP="007653D0">
      <w:pPr>
        <w:jc w:val="both"/>
        <w:rPr>
          <w:rFonts w:ascii="Candara" w:hAnsi="Candara"/>
          <w:sz w:val="24"/>
          <w:szCs w:val="24"/>
        </w:rPr>
      </w:pPr>
      <w:r w:rsidRPr="0016235B">
        <w:rPr>
          <w:rFonts w:ascii="Candara" w:hAnsi="Candara"/>
          <w:noProof/>
          <w:sz w:val="24"/>
          <w:szCs w:val="24"/>
        </w:rPr>
        <w:drawing>
          <wp:inline distT="0" distB="0" distL="0" distR="0" wp14:anchorId="61F6A9CC" wp14:editId="4EDCEA6C">
            <wp:extent cx="5761990" cy="2604977"/>
            <wp:effectExtent l="0" t="0" r="10160" b="5080"/>
            <wp:docPr id="29" name="Chart 29">
              <a:extLst xmlns:a="http://schemas.openxmlformats.org/drawingml/2006/main">
                <a:ext uri="{FF2B5EF4-FFF2-40B4-BE49-F238E27FC236}">
                  <a16:creationId xmlns:a16="http://schemas.microsoft.com/office/drawing/2014/main" id="{4496B8D0-AF6F-4A99-AE45-59D95E895D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20607471"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Generally, source and reporting documents were available in 95% of facilities irrespective of level, managing authority and location. However, 8% of general hospitals did not have source documents.</w:t>
      </w:r>
    </w:p>
    <w:p w14:paraId="2F5FD2F7" w14:textId="77777777" w:rsidR="007653D0" w:rsidRPr="0016235B" w:rsidRDefault="007653D0" w:rsidP="007653D0">
      <w:pPr>
        <w:spacing w:after="0" w:line="240" w:lineRule="auto"/>
        <w:rPr>
          <w:rFonts w:ascii="Candara" w:eastAsia="Times New Roman" w:hAnsi="Candara" w:cs="Calibri"/>
          <w:b/>
          <w:bCs/>
          <w:color w:val="000000"/>
          <w:sz w:val="28"/>
          <w:szCs w:val="28"/>
        </w:rPr>
      </w:pPr>
      <w:r w:rsidRPr="0016235B">
        <w:rPr>
          <w:rFonts w:ascii="Candara" w:eastAsia="Times New Roman" w:hAnsi="Candara" w:cs="Calibri"/>
          <w:b/>
          <w:bCs/>
          <w:color w:val="000000"/>
          <w:sz w:val="28"/>
          <w:szCs w:val="28"/>
        </w:rPr>
        <w:t>Verification factor (ratio) for Immunization by key stratifying variables</w:t>
      </w:r>
    </w:p>
    <w:tbl>
      <w:tblPr>
        <w:tblW w:w="9360" w:type="dxa"/>
        <w:tblLook w:val="04A0" w:firstRow="1" w:lastRow="0" w:firstColumn="1" w:lastColumn="0" w:noHBand="0" w:noVBand="1"/>
      </w:tblPr>
      <w:tblGrid>
        <w:gridCol w:w="2105"/>
        <w:gridCol w:w="978"/>
        <w:gridCol w:w="1273"/>
        <w:gridCol w:w="1087"/>
        <w:gridCol w:w="1087"/>
        <w:gridCol w:w="872"/>
        <w:gridCol w:w="1087"/>
        <w:gridCol w:w="1087"/>
      </w:tblGrid>
      <w:tr w:rsidR="007653D0" w:rsidRPr="0016235B" w14:paraId="2220FE8E" w14:textId="77777777" w:rsidTr="007653D0">
        <w:trPr>
          <w:trHeight w:val="1500"/>
        </w:trPr>
        <w:tc>
          <w:tcPr>
            <w:tcW w:w="2178" w:type="dxa"/>
            <w:tcBorders>
              <w:top w:val="nil"/>
              <w:left w:val="nil"/>
              <w:bottom w:val="nil"/>
              <w:right w:val="nil"/>
            </w:tcBorders>
            <w:shd w:val="clear" w:color="000000" w:fill="E7E6E6"/>
            <w:noWrap/>
            <w:vAlign w:val="bottom"/>
            <w:hideMark/>
          </w:tcPr>
          <w:p w14:paraId="0A2D2540"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Level</w:t>
            </w:r>
          </w:p>
        </w:tc>
        <w:tc>
          <w:tcPr>
            <w:tcW w:w="948" w:type="dxa"/>
            <w:tcBorders>
              <w:top w:val="nil"/>
              <w:left w:val="nil"/>
              <w:bottom w:val="nil"/>
              <w:right w:val="nil"/>
            </w:tcBorders>
            <w:shd w:val="clear" w:color="000000" w:fill="E7E6E6"/>
            <w:vAlign w:val="bottom"/>
            <w:hideMark/>
          </w:tcPr>
          <w:p w14:paraId="00FAC1B9"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Number of facilities</w:t>
            </w:r>
          </w:p>
        </w:tc>
        <w:tc>
          <w:tcPr>
            <w:tcW w:w="1185" w:type="dxa"/>
            <w:tcBorders>
              <w:top w:val="nil"/>
              <w:left w:val="nil"/>
              <w:bottom w:val="nil"/>
              <w:right w:val="nil"/>
            </w:tcBorders>
            <w:shd w:val="clear" w:color="000000" w:fill="E7E6E6"/>
            <w:vAlign w:val="bottom"/>
            <w:hideMark/>
          </w:tcPr>
          <w:p w14:paraId="2EE695E6"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Verification factor</w:t>
            </w:r>
          </w:p>
        </w:tc>
        <w:tc>
          <w:tcPr>
            <w:tcW w:w="1038" w:type="dxa"/>
            <w:tcBorders>
              <w:top w:val="nil"/>
              <w:left w:val="nil"/>
              <w:bottom w:val="nil"/>
              <w:right w:val="nil"/>
            </w:tcBorders>
            <w:shd w:val="clear" w:color="000000" w:fill="E7E6E6"/>
            <w:vAlign w:val="bottom"/>
            <w:hideMark/>
          </w:tcPr>
          <w:p w14:paraId="5F115B2A"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&gt;10% over reporting</w:t>
            </w:r>
          </w:p>
        </w:tc>
        <w:tc>
          <w:tcPr>
            <w:tcW w:w="1038" w:type="dxa"/>
            <w:tcBorders>
              <w:top w:val="nil"/>
              <w:left w:val="nil"/>
              <w:bottom w:val="nil"/>
              <w:right w:val="nil"/>
            </w:tcBorders>
            <w:shd w:val="clear" w:color="000000" w:fill="E7E6E6"/>
            <w:vAlign w:val="bottom"/>
            <w:hideMark/>
          </w:tcPr>
          <w:p w14:paraId="37E351F5" w14:textId="2744AD66"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Up</w:t>
            </w:r>
            <w:r w:rsidR="008B3482" w:rsidRPr="0016235B">
              <w:rPr>
                <w:rFonts w:ascii="Candara" w:eastAsia="Times New Roman" w:hAnsi="Candara" w:cs="Calibri"/>
                <w:b/>
                <w:bCs/>
                <w:color w:val="000000"/>
              </w:rPr>
              <w:t xml:space="preserve"> </w:t>
            </w:r>
            <w:r w:rsidRPr="0016235B">
              <w:rPr>
                <w:rFonts w:ascii="Candara" w:eastAsia="Times New Roman" w:hAnsi="Candara" w:cs="Calibri"/>
                <w:b/>
                <w:bCs/>
                <w:color w:val="000000"/>
              </w:rPr>
              <w:t>to 10% over reporting</w:t>
            </w:r>
          </w:p>
        </w:tc>
        <w:tc>
          <w:tcPr>
            <w:tcW w:w="897" w:type="dxa"/>
            <w:tcBorders>
              <w:top w:val="nil"/>
              <w:left w:val="nil"/>
              <w:bottom w:val="nil"/>
              <w:right w:val="nil"/>
            </w:tcBorders>
            <w:shd w:val="clear" w:color="000000" w:fill="E7E6E6"/>
            <w:vAlign w:val="bottom"/>
            <w:hideMark/>
          </w:tcPr>
          <w:p w14:paraId="26CBF12F"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Match</w:t>
            </w:r>
          </w:p>
        </w:tc>
        <w:tc>
          <w:tcPr>
            <w:tcW w:w="1038" w:type="dxa"/>
            <w:tcBorders>
              <w:top w:val="nil"/>
              <w:left w:val="nil"/>
              <w:bottom w:val="nil"/>
              <w:right w:val="nil"/>
            </w:tcBorders>
            <w:shd w:val="clear" w:color="000000" w:fill="E7E6E6"/>
            <w:vAlign w:val="bottom"/>
            <w:hideMark/>
          </w:tcPr>
          <w:p w14:paraId="78F04EFE" w14:textId="10BCF54E"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Up</w:t>
            </w:r>
            <w:r w:rsidR="008B3482" w:rsidRPr="0016235B">
              <w:rPr>
                <w:rFonts w:ascii="Candara" w:eastAsia="Times New Roman" w:hAnsi="Candara" w:cs="Calibri"/>
                <w:b/>
                <w:bCs/>
                <w:color w:val="000000"/>
              </w:rPr>
              <w:t xml:space="preserve"> </w:t>
            </w:r>
            <w:r w:rsidRPr="0016235B">
              <w:rPr>
                <w:rFonts w:ascii="Candara" w:eastAsia="Times New Roman" w:hAnsi="Candara" w:cs="Calibri"/>
                <w:b/>
                <w:bCs/>
                <w:color w:val="000000"/>
              </w:rPr>
              <w:t>to 10% under reporting</w:t>
            </w:r>
          </w:p>
        </w:tc>
        <w:tc>
          <w:tcPr>
            <w:tcW w:w="1038" w:type="dxa"/>
            <w:tcBorders>
              <w:top w:val="nil"/>
              <w:left w:val="nil"/>
              <w:bottom w:val="nil"/>
              <w:right w:val="nil"/>
            </w:tcBorders>
            <w:shd w:val="clear" w:color="000000" w:fill="E7E6E6"/>
            <w:vAlign w:val="bottom"/>
            <w:hideMark/>
          </w:tcPr>
          <w:p w14:paraId="36136BF2"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&gt;10% under reporting</w:t>
            </w:r>
          </w:p>
        </w:tc>
      </w:tr>
      <w:tr w:rsidR="007653D0" w:rsidRPr="0016235B" w14:paraId="3AE569A3" w14:textId="77777777" w:rsidTr="007653D0">
        <w:trPr>
          <w:trHeight w:val="300"/>
        </w:trPr>
        <w:tc>
          <w:tcPr>
            <w:tcW w:w="2178" w:type="dxa"/>
            <w:tcBorders>
              <w:top w:val="nil"/>
              <w:left w:val="nil"/>
              <w:bottom w:val="nil"/>
              <w:right w:val="nil"/>
            </w:tcBorders>
            <w:shd w:val="clear" w:color="auto" w:fill="auto"/>
            <w:noWrap/>
            <w:vAlign w:val="bottom"/>
            <w:hideMark/>
          </w:tcPr>
          <w:p w14:paraId="66D246AE"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Regional Hospital</w:t>
            </w:r>
          </w:p>
        </w:tc>
        <w:tc>
          <w:tcPr>
            <w:tcW w:w="948" w:type="dxa"/>
            <w:tcBorders>
              <w:top w:val="nil"/>
              <w:left w:val="nil"/>
              <w:bottom w:val="nil"/>
              <w:right w:val="nil"/>
            </w:tcBorders>
            <w:shd w:val="clear" w:color="auto" w:fill="auto"/>
            <w:noWrap/>
            <w:vAlign w:val="bottom"/>
            <w:hideMark/>
          </w:tcPr>
          <w:p w14:paraId="2BEE6AC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185" w:type="dxa"/>
            <w:tcBorders>
              <w:top w:val="nil"/>
              <w:left w:val="nil"/>
              <w:bottom w:val="nil"/>
              <w:right w:val="nil"/>
            </w:tcBorders>
            <w:shd w:val="clear" w:color="auto" w:fill="auto"/>
            <w:noWrap/>
            <w:vAlign w:val="bottom"/>
            <w:hideMark/>
          </w:tcPr>
          <w:p w14:paraId="7483783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0.99</w:t>
            </w:r>
          </w:p>
        </w:tc>
        <w:tc>
          <w:tcPr>
            <w:tcW w:w="1038" w:type="dxa"/>
            <w:tcBorders>
              <w:top w:val="nil"/>
              <w:left w:val="nil"/>
              <w:bottom w:val="nil"/>
              <w:right w:val="nil"/>
            </w:tcBorders>
            <w:shd w:val="clear" w:color="auto" w:fill="auto"/>
            <w:noWrap/>
            <w:vAlign w:val="bottom"/>
            <w:hideMark/>
          </w:tcPr>
          <w:p w14:paraId="72A8801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8" w:type="dxa"/>
            <w:tcBorders>
              <w:top w:val="nil"/>
              <w:left w:val="nil"/>
              <w:bottom w:val="nil"/>
              <w:right w:val="nil"/>
            </w:tcBorders>
            <w:shd w:val="clear" w:color="auto" w:fill="auto"/>
            <w:noWrap/>
            <w:vAlign w:val="bottom"/>
            <w:hideMark/>
          </w:tcPr>
          <w:p w14:paraId="4547F58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897" w:type="dxa"/>
            <w:tcBorders>
              <w:top w:val="nil"/>
              <w:left w:val="nil"/>
              <w:bottom w:val="nil"/>
              <w:right w:val="nil"/>
            </w:tcBorders>
            <w:shd w:val="clear" w:color="auto" w:fill="auto"/>
            <w:noWrap/>
            <w:vAlign w:val="bottom"/>
            <w:hideMark/>
          </w:tcPr>
          <w:p w14:paraId="74A26AB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8" w:type="dxa"/>
            <w:tcBorders>
              <w:top w:val="nil"/>
              <w:left w:val="nil"/>
              <w:bottom w:val="nil"/>
              <w:right w:val="nil"/>
            </w:tcBorders>
            <w:shd w:val="clear" w:color="auto" w:fill="auto"/>
            <w:noWrap/>
            <w:vAlign w:val="bottom"/>
            <w:hideMark/>
          </w:tcPr>
          <w:p w14:paraId="15E5F82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1038" w:type="dxa"/>
            <w:tcBorders>
              <w:top w:val="nil"/>
              <w:left w:val="nil"/>
              <w:bottom w:val="nil"/>
              <w:right w:val="nil"/>
            </w:tcBorders>
            <w:shd w:val="clear" w:color="auto" w:fill="auto"/>
            <w:noWrap/>
            <w:vAlign w:val="bottom"/>
            <w:hideMark/>
          </w:tcPr>
          <w:p w14:paraId="326DD73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407C2AF2" w14:textId="77777777" w:rsidTr="007653D0">
        <w:trPr>
          <w:trHeight w:val="300"/>
        </w:trPr>
        <w:tc>
          <w:tcPr>
            <w:tcW w:w="2178" w:type="dxa"/>
            <w:tcBorders>
              <w:top w:val="nil"/>
              <w:left w:val="nil"/>
              <w:bottom w:val="nil"/>
              <w:right w:val="nil"/>
            </w:tcBorders>
            <w:shd w:val="clear" w:color="auto" w:fill="auto"/>
            <w:noWrap/>
            <w:vAlign w:val="bottom"/>
            <w:hideMark/>
          </w:tcPr>
          <w:p w14:paraId="0E126F34"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General Hospital</w:t>
            </w:r>
          </w:p>
        </w:tc>
        <w:tc>
          <w:tcPr>
            <w:tcW w:w="948" w:type="dxa"/>
            <w:tcBorders>
              <w:top w:val="nil"/>
              <w:left w:val="nil"/>
              <w:bottom w:val="nil"/>
              <w:right w:val="nil"/>
            </w:tcBorders>
            <w:shd w:val="clear" w:color="auto" w:fill="auto"/>
            <w:noWrap/>
            <w:vAlign w:val="bottom"/>
            <w:hideMark/>
          </w:tcPr>
          <w:p w14:paraId="7440E15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w:t>
            </w:r>
          </w:p>
        </w:tc>
        <w:tc>
          <w:tcPr>
            <w:tcW w:w="1185" w:type="dxa"/>
            <w:tcBorders>
              <w:top w:val="nil"/>
              <w:left w:val="nil"/>
              <w:bottom w:val="nil"/>
              <w:right w:val="nil"/>
            </w:tcBorders>
            <w:shd w:val="clear" w:color="auto" w:fill="auto"/>
            <w:noWrap/>
            <w:vAlign w:val="bottom"/>
            <w:hideMark/>
          </w:tcPr>
          <w:p w14:paraId="7811194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0.80</w:t>
            </w:r>
          </w:p>
        </w:tc>
        <w:tc>
          <w:tcPr>
            <w:tcW w:w="1038" w:type="dxa"/>
            <w:tcBorders>
              <w:top w:val="nil"/>
              <w:left w:val="nil"/>
              <w:bottom w:val="nil"/>
              <w:right w:val="nil"/>
            </w:tcBorders>
            <w:shd w:val="clear" w:color="auto" w:fill="auto"/>
            <w:noWrap/>
            <w:vAlign w:val="bottom"/>
            <w:hideMark/>
          </w:tcPr>
          <w:p w14:paraId="4303707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52.2</w:t>
            </w:r>
          </w:p>
        </w:tc>
        <w:tc>
          <w:tcPr>
            <w:tcW w:w="1038" w:type="dxa"/>
            <w:tcBorders>
              <w:top w:val="nil"/>
              <w:left w:val="nil"/>
              <w:bottom w:val="nil"/>
              <w:right w:val="nil"/>
            </w:tcBorders>
            <w:shd w:val="clear" w:color="auto" w:fill="auto"/>
            <w:noWrap/>
            <w:vAlign w:val="bottom"/>
            <w:hideMark/>
          </w:tcPr>
          <w:p w14:paraId="75FE5D9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8.7</w:t>
            </w:r>
          </w:p>
        </w:tc>
        <w:tc>
          <w:tcPr>
            <w:tcW w:w="897" w:type="dxa"/>
            <w:tcBorders>
              <w:top w:val="nil"/>
              <w:left w:val="nil"/>
              <w:bottom w:val="nil"/>
              <w:right w:val="nil"/>
            </w:tcBorders>
            <w:shd w:val="clear" w:color="auto" w:fill="auto"/>
            <w:noWrap/>
            <w:vAlign w:val="bottom"/>
            <w:hideMark/>
          </w:tcPr>
          <w:p w14:paraId="3A5889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17.4</w:t>
            </w:r>
          </w:p>
        </w:tc>
        <w:tc>
          <w:tcPr>
            <w:tcW w:w="1038" w:type="dxa"/>
            <w:tcBorders>
              <w:top w:val="nil"/>
              <w:left w:val="nil"/>
              <w:bottom w:val="nil"/>
              <w:right w:val="nil"/>
            </w:tcBorders>
            <w:shd w:val="clear" w:color="auto" w:fill="auto"/>
            <w:noWrap/>
            <w:vAlign w:val="bottom"/>
            <w:hideMark/>
          </w:tcPr>
          <w:p w14:paraId="71AB365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8.7</w:t>
            </w:r>
          </w:p>
        </w:tc>
        <w:tc>
          <w:tcPr>
            <w:tcW w:w="1038" w:type="dxa"/>
            <w:tcBorders>
              <w:top w:val="nil"/>
              <w:left w:val="nil"/>
              <w:bottom w:val="nil"/>
              <w:right w:val="nil"/>
            </w:tcBorders>
            <w:shd w:val="clear" w:color="auto" w:fill="auto"/>
            <w:noWrap/>
            <w:vAlign w:val="bottom"/>
            <w:hideMark/>
          </w:tcPr>
          <w:p w14:paraId="5050A2A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13.0</w:t>
            </w:r>
          </w:p>
        </w:tc>
      </w:tr>
      <w:tr w:rsidR="007653D0" w:rsidRPr="0016235B" w14:paraId="2C98339C" w14:textId="77777777" w:rsidTr="007653D0">
        <w:trPr>
          <w:trHeight w:val="300"/>
        </w:trPr>
        <w:tc>
          <w:tcPr>
            <w:tcW w:w="2178" w:type="dxa"/>
            <w:tcBorders>
              <w:top w:val="nil"/>
              <w:left w:val="nil"/>
              <w:bottom w:val="nil"/>
              <w:right w:val="nil"/>
            </w:tcBorders>
            <w:shd w:val="clear" w:color="auto" w:fill="auto"/>
            <w:noWrap/>
            <w:vAlign w:val="bottom"/>
            <w:hideMark/>
          </w:tcPr>
          <w:p w14:paraId="768856AF"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IV</w:t>
            </w:r>
          </w:p>
        </w:tc>
        <w:tc>
          <w:tcPr>
            <w:tcW w:w="948" w:type="dxa"/>
            <w:tcBorders>
              <w:top w:val="nil"/>
              <w:left w:val="nil"/>
              <w:bottom w:val="nil"/>
              <w:right w:val="nil"/>
            </w:tcBorders>
            <w:shd w:val="clear" w:color="auto" w:fill="auto"/>
            <w:noWrap/>
            <w:vAlign w:val="bottom"/>
            <w:hideMark/>
          </w:tcPr>
          <w:p w14:paraId="6772706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w:t>
            </w:r>
          </w:p>
        </w:tc>
        <w:tc>
          <w:tcPr>
            <w:tcW w:w="1185" w:type="dxa"/>
            <w:tcBorders>
              <w:top w:val="nil"/>
              <w:left w:val="nil"/>
              <w:bottom w:val="nil"/>
              <w:right w:val="nil"/>
            </w:tcBorders>
            <w:shd w:val="clear" w:color="auto" w:fill="auto"/>
            <w:noWrap/>
            <w:vAlign w:val="bottom"/>
            <w:hideMark/>
          </w:tcPr>
          <w:p w14:paraId="2C502BB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0.94</w:t>
            </w:r>
          </w:p>
        </w:tc>
        <w:tc>
          <w:tcPr>
            <w:tcW w:w="1038" w:type="dxa"/>
            <w:tcBorders>
              <w:top w:val="nil"/>
              <w:left w:val="nil"/>
              <w:bottom w:val="nil"/>
              <w:right w:val="nil"/>
            </w:tcBorders>
            <w:shd w:val="clear" w:color="auto" w:fill="auto"/>
            <w:noWrap/>
            <w:vAlign w:val="bottom"/>
            <w:hideMark/>
          </w:tcPr>
          <w:p w14:paraId="1AA9D9B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21.1</w:t>
            </w:r>
          </w:p>
        </w:tc>
        <w:tc>
          <w:tcPr>
            <w:tcW w:w="1038" w:type="dxa"/>
            <w:tcBorders>
              <w:top w:val="nil"/>
              <w:left w:val="nil"/>
              <w:bottom w:val="nil"/>
              <w:right w:val="nil"/>
            </w:tcBorders>
            <w:shd w:val="clear" w:color="auto" w:fill="auto"/>
            <w:noWrap/>
            <w:vAlign w:val="bottom"/>
            <w:hideMark/>
          </w:tcPr>
          <w:p w14:paraId="0111C08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21.1</w:t>
            </w:r>
          </w:p>
        </w:tc>
        <w:tc>
          <w:tcPr>
            <w:tcW w:w="897" w:type="dxa"/>
            <w:tcBorders>
              <w:top w:val="nil"/>
              <w:left w:val="nil"/>
              <w:bottom w:val="nil"/>
              <w:right w:val="nil"/>
            </w:tcBorders>
            <w:shd w:val="clear" w:color="auto" w:fill="auto"/>
            <w:noWrap/>
            <w:vAlign w:val="bottom"/>
            <w:hideMark/>
          </w:tcPr>
          <w:p w14:paraId="2113073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31.6</w:t>
            </w:r>
          </w:p>
        </w:tc>
        <w:tc>
          <w:tcPr>
            <w:tcW w:w="1038" w:type="dxa"/>
            <w:tcBorders>
              <w:top w:val="nil"/>
              <w:left w:val="nil"/>
              <w:bottom w:val="nil"/>
              <w:right w:val="nil"/>
            </w:tcBorders>
            <w:shd w:val="clear" w:color="auto" w:fill="auto"/>
            <w:noWrap/>
            <w:vAlign w:val="bottom"/>
            <w:hideMark/>
          </w:tcPr>
          <w:p w14:paraId="720836C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10.5</w:t>
            </w:r>
          </w:p>
        </w:tc>
        <w:tc>
          <w:tcPr>
            <w:tcW w:w="1038" w:type="dxa"/>
            <w:tcBorders>
              <w:top w:val="nil"/>
              <w:left w:val="nil"/>
              <w:bottom w:val="nil"/>
              <w:right w:val="nil"/>
            </w:tcBorders>
            <w:shd w:val="clear" w:color="auto" w:fill="auto"/>
            <w:noWrap/>
            <w:vAlign w:val="bottom"/>
            <w:hideMark/>
          </w:tcPr>
          <w:p w14:paraId="402A29F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15.8</w:t>
            </w:r>
          </w:p>
        </w:tc>
      </w:tr>
      <w:tr w:rsidR="007653D0" w:rsidRPr="0016235B" w14:paraId="31D20AE2" w14:textId="77777777" w:rsidTr="007653D0">
        <w:trPr>
          <w:trHeight w:val="300"/>
        </w:trPr>
        <w:tc>
          <w:tcPr>
            <w:tcW w:w="2178" w:type="dxa"/>
            <w:tcBorders>
              <w:top w:val="nil"/>
              <w:left w:val="nil"/>
              <w:bottom w:val="nil"/>
              <w:right w:val="nil"/>
            </w:tcBorders>
            <w:shd w:val="clear" w:color="auto" w:fill="auto"/>
            <w:noWrap/>
            <w:vAlign w:val="bottom"/>
            <w:hideMark/>
          </w:tcPr>
          <w:p w14:paraId="6600A37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III</w:t>
            </w:r>
          </w:p>
        </w:tc>
        <w:tc>
          <w:tcPr>
            <w:tcW w:w="948" w:type="dxa"/>
            <w:tcBorders>
              <w:top w:val="nil"/>
              <w:left w:val="nil"/>
              <w:bottom w:val="nil"/>
              <w:right w:val="nil"/>
            </w:tcBorders>
            <w:shd w:val="clear" w:color="auto" w:fill="auto"/>
            <w:noWrap/>
            <w:vAlign w:val="bottom"/>
            <w:hideMark/>
          </w:tcPr>
          <w:p w14:paraId="418BE41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w:t>
            </w:r>
          </w:p>
        </w:tc>
        <w:tc>
          <w:tcPr>
            <w:tcW w:w="1185" w:type="dxa"/>
            <w:tcBorders>
              <w:top w:val="nil"/>
              <w:left w:val="nil"/>
              <w:bottom w:val="nil"/>
              <w:right w:val="nil"/>
            </w:tcBorders>
            <w:shd w:val="clear" w:color="auto" w:fill="auto"/>
            <w:noWrap/>
            <w:vAlign w:val="bottom"/>
            <w:hideMark/>
          </w:tcPr>
          <w:p w14:paraId="2EBB559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0.93</w:t>
            </w:r>
          </w:p>
        </w:tc>
        <w:tc>
          <w:tcPr>
            <w:tcW w:w="1038" w:type="dxa"/>
            <w:tcBorders>
              <w:top w:val="nil"/>
              <w:left w:val="nil"/>
              <w:bottom w:val="nil"/>
              <w:right w:val="nil"/>
            </w:tcBorders>
            <w:shd w:val="clear" w:color="auto" w:fill="auto"/>
            <w:noWrap/>
            <w:vAlign w:val="bottom"/>
            <w:hideMark/>
          </w:tcPr>
          <w:p w14:paraId="63CEB9D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32.4</w:t>
            </w:r>
          </w:p>
        </w:tc>
        <w:tc>
          <w:tcPr>
            <w:tcW w:w="1038" w:type="dxa"/>
            <w:tcBorders>
              <w:top w:val="nil"/>
              <w:left w:val="nil"/>
              <w:bottom w:val="nil"/>
              <w:right w:val="nil"/>
            </w:tcBorders>
            <w:shd w:val="clear" w:color="auto" w:fill="auto"/>
            <w:noWrap/>
            <w:vAlign w:val="bottom"/>
            <w:hideMark/>
          </w:tcPr>
          <w:p w14:paraId="0CBCA4A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8.1</w:t>
            </w:r>
          </w:p>
        </w:tc>
        <w:tc>
          <w:tcPr>
            <w:tcW w:w="897" w:type="dxa"/>
            <w:tcBorders>
              <w:top w:val="nil"/>
              <w:left w:val="nil"/>
              <w:bottom w:val="nil"/>
              <w:right w:val="nil"/>
            </w:tcBorders>
            <w:shd w:val="clear" w:color="auto" w:fill="auto"/>
            <w:noWrap/>
            <w:vAlign w:val="bottom"/>
            <w:hideMark/>
          </w:tcPr>
          <w:p w14:paraId="3C0681C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43.2</w:t>
            </w:r>
          </w:p>
        </w:tc>
        <w:tc>
          <w:tcPr>
            <w:tcW w:w="1038" w:type="dxa"/>
            <w:tcBorders>
              <w:top w:val="nil"/>
              <w:left w:val="nil"/>
              <w:bottom w:val="nil"/>
              <w:right w:val="nil"/>
            </w:tcBorders>
            <w:shd w:val="clear" w:color="auto" w:fill="auto"/>
            <w:noWrap/>
            <w:vAlign w:val="bottom"/>
            <w:hideMark/>
          </w:tcPr>
          <w:p w14:paraId="60AE601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8.1</w:t>
            </w:r>
          </w:p>
        </w:tc>
        <w:tc>
          <w:tcPr>
            <w:tcW w:w="1038" w:type="dxa"/>
            <w:tcBorders>
              <w:top w:val="nil"/>
              <w:left w:val="nil"/>
              <w:bottom w:val="nil"/>
              <w:right w:val="nil"/>
            </w:tcBorders>
            <w:shd w:val="clear" w:color="auto" w:fill="auto"/>
            <w:noWrap/>
            <w:vAlign w:val="bottom"/>
            <w:hideMark/>
          </w:tcPr>
          <w:p w14:paraId="1CA99BF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8.1</w:t>
            </w:r>
          </w:p>
        </w:tc>
      </w:tr>
      <w:tr w:rsidR="007653D0" w:rsidRPr="0016235B" w14:paraId="25EF7E61" w14:textId="77777777" w:rsidTr="007653D0">
        <w:trPr>
          <w:trHeight w:val="300"/>
        </w:trPr>
        <w:tc>
          <w:tcPr>
            <w:tcW w:w="2178" w:type="dxa"/>
            <w:tcBorders>
              <w:top w:val="nil"/>
              <w:left w:val="nil"/>
              <w:bottom w:val="nil"/>
              <w:right w:val="nil"/>
            </w:tcBorders>
            <w:shd w:val="clear" w:color="auto" w:fill="auto"/>
            <w:noWrap/>
            <w:vAlign w:val="bottom"/>
            <w:hideMark/>
          </w:tcPr>
          <w:p w14:paraId="61F84F0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w:t>
            </w:r>
          </w:p>
        </w:tc>
        <w:tc>
          <w:tcPr>
            <w:tcW w:w="948" w:type="dxa"/>
            <w:tcBorders>
              <w:top w:val="nil"/>
              <w:left w:val="nil"/>
              <w:bottom w:val="nil"/>
              <w:right w:val="nil"/>
            </w:tcBorders>
            <w:shd w:val="clear" w:color="auto" w:fill="auto"/>
            <w:noWrap/>
            <w:vAlign w:val="bottom"/>
            <w:hideMark/>
          </w:tcPr>
          <w:p w14:paraId="0DFB971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26</w:t>
            </w:r>
          </w:p>
        </w:tc>
        <w:tc>
          <w:tcPr>
            <w:tcW w:w="1185" w:type="dxa"/>
            <w:tcBorders>
              <w:top w:val="nil"/>
              <w:left w:val="nil"/>
              <w:bottom w:val="nil"/>
              <w:right w:val="nil"/>
            </w:tcBorders>
            <w:shd w:val="clear" w:color="auto" w:fill="auto"/>
            <w:noWrap/>
            <w:vAlign w:val="bottom"/>
            <w:hideMark/>
          </w:tcPr>
          <w:p w14:paraId="07E0B41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0.94</w:t>
            </w:r>
          </w:p>
        </w:tc>
        <w:tc>
          <w:tcPr>
            <w:tcW w:w="1038" w:type="dxa"/>
            <w:tcBorders>
              <w:top w:val="nil"/>
              <w:left w:val="nil"/>
              <w:bottom w:val="nil"/>
              <w:right w:val="nil"/>
            </w:tcBorders>
            <w:shd w:val="clear" w:color="auto" w:fill="auto"/>
            <w:noWrap/>
            <w:vAlign w:val="bottom"/>
            <w:hideMark/>
          </w:tcPr>
          <w:p w14:paraId="526887B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38.5</w:t>
            </w:r>
          </w:p>
        </w:tc>
        <w:tc>
          <w:tcPr>
            <w:tcW w:w="1038" w:type="dxa"/>
            <w:tcBorders>
              <w:top w:val="nil"/>
              <w:left w:val="nil"/>
              <w:bottom w:val="nil"/>
              <w:right w:val="nil"/>
            </w:tcBorders>
            <w:shd w:val="clear" w:color="auto" w:fill="auto"/>
            <w:noWrap/>
            <w:vAlign w:val="bottom"/>
            <w:hideMark/>
          </w:tcPr>
          <w:p w14:paraId="0F2ADF9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7.7</w:t>
            </w:r>
          </w:p>
        </w:tc>
        <w:tc>
          <w:tcPr>
            <w:tcW w:w="897" w:type="dxa"/>
            <w:tcBorders>
              <w:top w:val="nil"/>
              <w:left w:val="nil"/>
              <w:bottom w:val="nil"/>
              <w:right w:val="nil"/>
            </w:tcBorders>
            <w:shd w:val="clear" w:color="auto" w:fill="auto"/>
            <w:noWrap/>
            <w:vAlign w:val="bottom"/>
            <w:hideMark/>
          </w:tcPr>
          <w:p w14:paraId="7AD00CC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38.5</w:t>
            </w:r>
          </w:p>
        </w:tc>
        <w:tc>
          <w:tcPr>
            <w:tcW w:w="1038" w:type="dxa"/>
            <w:tcBorders>
              <w:top w:val="nil"/>
              <w:left w:val="nil"/>
              <w:bottom w:val="nil"/>
              <w:right w:val="nil"/>
            </w:tcBorders>
            <w:shd w:val="clear" w:color="auto" w:fill="auto"/>
            <w:noWrap/>
            <w:vAlign w:val="bottom"/>
            <w:hideMark/>
          </w:tcPr>
          <w:p w14:paraId="1A870A3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7.7</w:t>
            </w:r>
          </w:p>
        </w:tc>
        <w:tc>
          <w:tcPr>
            <w:tcW w:w="1038" w:type="dxa"/>
            <w:tcBorders>
              <w:top w:val="nil"/>
              <w:left w:val="nil"/>
              <w:bottom w:val="nil"/>
              <w:right w:val="nil"/>
            </w:tcBorders>
            <w:shd w:val="clear" w:color="auto" w:fill="auto"/>
            <w:noWrap/>
            <w:vAlign w:val="bottom"/>
            <w:hideMark/>
          </w:tcPr>
          <w:p w14:paraId="49A04E7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7.7</w:t>
            </w:r>
          </w:p>
        </w:tc>
      </w:tr>
      <w:tr w:rsidR="007653D0" w:rsidRPr="0016235B" w14:paraId="6D2D8406" w14:textId="77777777" w:rsidTr="007653D0">
        <w:trPr>
          <w:trHeight w:val="300"/>
        </w:trPr>
        <w:tc>
          <w:tcPr>
            <w:tcW w:w="2178" w:type="dxa"/>
            <w:tcBorders>
              <w:top w:val="nil"/>
              <w:left w:val="nil"/>
              <w:bottom w:val="nil"/>
              <w:right w:val="nil"/>
            </w:tcBorders>
            <w:shd w:val="clear" w:color="000000" w:fill="E7E6E6"/>
            <w:noWrap/>
            <w:vAlign w:val="bottom"/>
            <w:hideMark/>
          </w:tcPr>
          <w:p w14:paraId="6FD023D4"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Managing Authority</w:t>
            </w:r>
          </w:p>
        </w:tc>
        <w:tc>
          <w:tcPr>
            <w:tcW w:w="948" w:type="dxa"/>
            <w:tcBorders>
              <w:top w:val="nil"/>
              <w:left w:val="nil"/>
              <w:bottom w:val="nil"/>
              <w:right w:val="nil"/>
            </w:tcBorders>
            <w:shd w:val="clear" w:color="000000" w:fill="E7E6E6"/>
            <w:noWrap/>
            <w:vAlign w:val="bottom"/>
            <w:hideMark/>
          </w:tcPr>
          <w:p w14:paraId="1EFB7EF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185" w:type="dxa"/>
            <w:tcBorders>
              <w:top w:val="nil"/>
              <w:left w:val="nil"/>
              <w:bottom w:val="nil"/>
              <w:right w:val="nil"/>
            </w:tcBorders>
            <w:shd w:val="clear" w:color="000000" w:fill="E7E6E6"/>
            <w:noWrap/>
            <w:vAlign w:val="bottom"/>
            <w:hideMark/>
          </w:tcPr>
          <w:p w14:paraId="31439D3B"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38" w:type="dxa"/>
            <w:tcBorders>
              <w:top w:val="nil"/>
              <w:left w:val="nil"/>
              <w:bottom w:val="nil"/>
              <w:right w:val="nil"/>
            </w:tcBorders>
            <w:shd w:val="clear" w:color="000000" w:fill="E7E6E6"/>
            <w:noWrap/>
            <w:vAlign w:val="bottom"/>
            <w:hideMark/>
          </w:tcPr>
          <w:p w14:paraId="09F3BACD"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66520032"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897" w:type="dxa"/>
            <w:tcBorders>
              <w:top w:val="nil"/>
              <w:left w:val="nil"/>
              <w:bottom w:val="nil"/>
              <w:right w:val="nil"/>
            </w:tcBorders>
            <w:shd w:val="clear" w:color="000000" w:fill="E7E6E6"/>
            <w:noWrap/>
            <w:vAlign w:val="bottom"/>
            <w:hideMark/>
          </w:tcPr>
          <w:p w14:paraId="72DE6111"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583EC06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7A676F8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437CC4D3" w14:textId="77777777" w:rsidTr="007653D0">
        <w:trPr>
          <w:trHeight w:val="300"/>
        </w:trPr>
        <w:tc>
          <w:tcPr>
            <w:tcW w:w="2178" w:type="dxa"/>
            <w:tcBorders>
              <w:top w:val="nil"/>
              <w:left w:val="nil"/>
              <w:bottom w:val="nil"/>
              <w:right w:val="nil"/>
            </w:tcBorders>
            <w:shd w:val="clear" w:color="auto" w:fill="auto"/>
            <w:noWrap/>
            <w:vAlign w:val="bottom"/>
            <w:hideMark/>
          </w:tcPr>
          <w:p w14:paraId="062EC435"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Public/G</w:t>
            </w:r>
          </w:p>
        </w:tc>
        <w:tc>
          <w:tcPr>
            <w:tcW w:w="948" w:type="dxa"/>
            <w:tcBorders>
              <w:top w:val="nil"/>
              <w:left w:val="nil"/>
              <w:bottom w:val="nil"/>
              <w:right w:val="nil"/>
            </w:tcBorders>
            <w:shd w:val="clear" w:color="auto" w:fill="auto"/>
            <w:noWrap/>
            <w:vAlign w:val="bottom"/>
            <w:hideMark/>
          </w:tcPr>
          <w:p w14:paraId="4B29D9A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73</w:t>
            </w:r>
          </w:p>
        </w:tc>
        <w:tc>
          <w:tcPr>
            <w:tcW w:w="1185" w:type="dxa"/>
            <w:tcBorders>
              <w:top w:val="nil"/>
              <w:left w:val="nil"/>
              <w:bottom w:val="nil"/>
              <w:right w:val="nil"/>
            </w:tcBorders>
            <w:shd w:val="clear" w:color="auto" w:fill="auto"/>
            <w:noWrap/>
            <w:vAlign w:val="bottom"/>
            <w:hideMark/>
          </w:tcPr>
          <w:p w14:paraId="1F8ECE0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0.91</w:t>
            </w:r>
          </w:p>
        </w:tc>
        <w:tc>
          <w:tcPr>
            <w:tcW w:w="1038" w:type="dxa"/>
            <w:tcBorders>
              <w:top w:val="nil"/>
              <w:left w:val="nil"/>
              <w:bottom w:val="nil"/>
              <w:right w:val="nil"/>
            </w:tcBorders>
            <w:shd w:val="clear" w:color="auto" w:fill="auto"/>
            <w:noWrap/>
            <w:vAlign w:val="bottom"/>
            <w:hideMark/>
          </w:tcPr>
          <w:p w14:paraId="4483BD6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28.8</w:t>
            </w:r>
          </w:p>
        </w:tc>
        <w:tc>
          <w:tcPr>
            <w:tcW w:w="1038" w:type="dxa"/>
            <w:tcBorders>
              <w:top w:val="nil"/>
              <w:left w:val="nil"/>
              <w:bottom w:val="nil"/>
              <w:right w:val="nil"/>
            </w:tcBorders>
            <w:shd w:val="clear" w:color="auto" w:fill="auto"/>
            <w:noWrap/>
            <w:vAlign w:val="bottom"/>
            <w:hideMark/>
          </w:tcPr>
          <w:p w14:paraId="0D0551B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13.7</w:t>
            </w:r>
          </w:p>
        </w:tc>
        <w:tc>
          <w:tcPr>
            <w:tcW w:w="897" w:type="dxa"/>
            <w:tcBorders>
              <w:top w:val="nil"/>
              <w:left w:val="nil"/>
              <w:bottom w:val="nil"/>
              <w:right w:val="nil"/>
            </w:tcBorders>
            <w:shd w:val="clear" w:color="auto" w:fill="auto"/>
            <w:noWrap/>
            <w:vAlign w:val="bottom"/>
            <w:hideMark/>
          </w:tcPr>
          <w:p w14:paraId="201B94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35.6</w:t>
            </w:r>
          </w:p>
        </w:tc>
        <w:tc>
          <w:tcPr>
            <w:tcW w:w="1038" w:type="dxa"/>
            <w:tcBorders>
              <w:top w:val="nil"/>
              <w:left w:val="nil"/>
              <w:bottom w:val="nil"/>
              <w:right w:val="nil"/>
            </w:tcBorders>
            <w:shd w:val="clear" w:color="auto" w:fill="auto"/>
            <w:noWrap/>
            <w:vAlign w:val="bottom"/>
            <w:hideMark/>
          </w:tcPr>
          <w:p w14:paraId="5D28110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13.7</w:t>
            </w:r>
          </w:p>
        </w:tc>
        <w:tc>
          <w:tcPr>
            <w:tcW w:w="1038" w:type="dxa"/>
            <w:tcBorders>
              <w:top w:val="nil"/>
              <w:left w:val="nil"/>
              <w:bottom w:val="nil"/>
              <w:right w:val="nil"/>
            </w:tcBorders>
            <w:shd w:val="clear" w:color="auto" w:fill="auto"/>
            <w:noWrap/>
            <w:vAlign w:val="bottom"/>
            <w:hideMark/>
          </w:tcPr>
          <w:p w14:paraId="6521245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8.2</w:t>
            </w:r>
          </w:p>
        </w:tc>
      </w:tr>
      <w:tr w:rsidR="007653D0" w:rsidRPr="0016235B" w14:paraId="465C2A71" w14:textId="77777777" w:rsidTr="007653D0">
        <w:trPr>
          <w:trHeight w:val="300"/>
        </w:trPr>
        <w:tc>
          <w:tcPr>
            <w:tcW w:w="2178" w:type="dxa"/>
            <w:tcBorders>
              <w:top w:val="nil"/>
              <w:left w:val="nil"/>
              <w:bottom w:val="nil"/>
              <w:right w:val="nil"/>
            </w:tcBorders>
            <w:shd w:val="clear" w:color="auto" w:fill="auto"/>
            <w:noWrap/>
            <w:vAlign w:val="bottom"/>
            <w:hideMark/>
          </w:tcPr>
          <w:p w14:paraId="24979F9B"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Private</w:t>
            </w:r>
          </w:p>
        </w:tc>
        <w:tc>
          <w:tcPr>
            <w:tcW w:w="948" w:type="dxa"/>
            <w:tcBorders>
              <w:top w:val="nil"/>
              <w:left w:val="nil"/>
              <w:bottom w:val="nil"/>
              <w:right w:val="nil"/>
            </w:tcBorders>
            <w:shd w:val="clear" w:color="auto" w:fill="auto"/>
            <w:noWrap/>
            <w:vAlign w:val="bottom"/>
            <w:hideMark/>
          </w:tcPr>
          <w:p w14:paraId="67D2C5B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w:t>
            </w:r>
          </w:p>
        </w:tc>
        <w:tc>
          <w:tcPr>
            <w:tcW w:w="1185" w:type="dxa"/>
            <w:tcBorders>
              <w:top w:val="nil"/>
              <w:left w:val="nil"/>
              <w:bottom w:val="nil"/>
              <w:right w:val="nil"/>
            </w:tcBorders>
            <w:shd w:val="clear" w:color="auto" w:fill="auto"/>
            <w:noWrap/>
            <w:vAlign w:val="bottom"/>
            <w:hideMark/>
          </w:tcPr>
          <w:p w14:paraId="1BF6DC9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0.92</w:t>
            </w:r>
          </w:p>
        </w:tc>
        <w:tc>
          <w:tcPr>
            <w:tcW w:w="1038" w:type="dxa"/>
            <w:tcBorders>
              <w:top w:val="nil"/>
              <w:left w:val="nil"/>
              <w:bottom w:val="nil"/>
              <w:right w:val="nil"/>
            </w:tcBorders>
            <w:shd w:val="clear" w:color="auto" w:fill="auto"/>
            <w:noWrap/>
            <w:vAlign w:val="bottom"/>
            <w:hideMark/>
          </w:tcPr>
          <w:p w14:paraId="687A272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42.5</w:t>
            </w:r>
          </w:p>
        </w:tc>
        <w:tc>
          <w:tcPr>
            <w:tcW w:w="1038" w:type="dxa"/>
            <w:tcBorders>
              <w:top w:val="nil"/>
              <w:left w:val="nil"/>
              <w:bottom w:val="nil"/>
              <w:right w:val="nil"/>
            </w:tcBorders>
            <w:shd w:val="clear" w:color="auto" w:fill="auto"/>
            <w:noWrap/>
            <w:vAlign w:val="bottom"/>
            <w:hideMark/>
          </w:tcPr>
          <w:p w14:paraId="313E201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897" w:type="dxa"/>
            <w:tcBorders>
              <w:top w:val="nil"/>
              <w:left w:val="nil"/>
              <w:bottom w:val="nil"/>
              <w:right w:val="nil"/>
            </w:tcBorders>
            <w:shd w:val="clear" w:color="auto" w:fill="auto"/>
            <w:noWrap/>
            <w:vAlign w:val="bottom"/>
            <w:hideMark/>
          </w:tcPr>
          <w:p w14:paraId="376239B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30.0</w:t>
            </w:r>
          </w:p>
        </w:tc>
        <w:tc>
          <w:tcPr>
            <w:tcW w:w="1038" w:type="dxa"/>
            <w:tcBorders>
              <w:top w:val="nil"/>
              <w:left w:val="nil"/>
              <w:bottom w:val="nil"/>
              <w:right w:val="nil"/>
            </w:tcBorders>
            <w:shd w:val="clear" w:color="auto" w:fill="auto"/>
            <w:noWrap/>
            <w:vAlign w:val="bottom"/>
            <w:hideMark/>
          </w:tcPr>
          <w:p w14:paraId="4E4E25F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w:t>
            </w:r>
          </w:p>
        </w:tc>
        <w:tc>
          <w:tcPr>
            <w:tcW w:w="1038" w:type="dxa"/>
            <w:tcBorders>
              <w:top w:val="nil"/>
              <w:left w:val="nil"/>
              <w:bottom w:val="nil"/>
              <w:right w:val="nil"/>
            </w:tcBorders>
            <w:shd w:val="clear" w:color="auto" w:fill="auto"/>
            <w:noWrap/>
            <w:vAlign w:val="bottom"/>
            <w:hideMark/>
          </w:tcPr>
          <w:p w14:paraId="271406F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r>
      <w:tr w:rsidR="007653D0" w:rsidRPr="0016235B" w14:paraId="1471BEE9" w14:textId="77777777" w:rsidTr="007653D0">
        <w:trPr>
          <w:trHeight w:val="300"/>
        </w:trPr>
        <w:tc>
          <w:tcPr>
            <w:tcW w:w="2178" w:type="dxa"/>
            <w:tcBorders>
              <w:top w:val="nil"/>
              <w:left w:val="nil"/>
              <w:bottom w:val="nil"/>
              <w:right w:val="nil"/>
            </w:tcBorders>
            <w:shd w:val="clear" w:color="000000" w:fill="E7E6E6"/>
            <w:noWrap/>
            <w:vAlign w:val="bottom"/>
            <w:hideMark/>
          </w:tcPr>
          <w:p w14:paraId="58D4FC6D"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Location</w:t>
            </w:r>
          </w:p>
        </w:tc>
        <w:tc>
          <w:tcPr>
            <w:tcW w:w="948" w:type="dxa"/>
            <w:tcBorders>
              <w:top w:val="nil"/>
              <w:left w:val="nil"/>
              <w:bottom w:val="nil"/>
              <w:right w:val="nil"/>
            </w:tcBorders>
            <w:shd w:val="clear" w:color="000000" w:fill="E7E6E6"/>
            <w:noWrap/>
            <w:vAlign w:val="bottom"/>
            <w:hideMark/>
          </w:tcPr>
          <w:p w14:paraId="7DE4D775"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185" w:type="dxa"/>
            <w:tcBorders>
              <w:top w:val="nil"/>
              <w:left w:val="nil"/>
              <w:bottom w:val="nil"/>
              <w:right w:val="nil"/>
            </w:tcBorders>
            <w:shd w:val="clear" w:color="000000" w:fill="E7E6E6"/>
            <w:noWrap/>
            <w:vAlign w:val="bottom"/>
            <w:hideMark/>
          </w:tcPr>
          <w:p w14:paraId="4F2A98FE"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38" w:type="dxa"/>
            <w:tcBorders>
              <w:top w:val="nil"/>
              <w:left w:val="nil"/>
              <w:bottom w:val="nil"/>
              <w:right w:val="nil"/>
            </w:tcBorders>
            <w:shd w:val="clear" w:color="000000" w:fill="E7E6E6"/>
            <w:noWrap/>
            <w:vAlign w:val="bottom"/>
            <w:hideMark/>
          </w:tcPr>
          <w:p w14:paraId="303C1AEC"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0CE190A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897" w:type="dxa"/>
            <w:tcBorders>
              <w:top w:val="nil"/>
              <w:left w:val="nil"/>
              <w:bottom w:val="nil"/>
              <w:right w:val="nil"/>
            </w:tcBorders>
            <w:shd w:val="clear" w:color="000000" w:fill="E7E6E6"/>
            <w:noWrap/>
            <w:vAlign w:val="bottom"/>
            <w:hideMark/>
          </w:tcPr>
          <w:p w14:paraId="44760924"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7F497AB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40F50FF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22739FD8" w14:textId="77777777" w:rsidTr="007653D0">
        <w:trPr>
          <w:trHeight w:val="300"/>
        </w:trPr>
        <w:tc>
          <w:tcPr>
            <w:tcW w:w="2178" w:type="dxa"/>
            <w:tcBorders>
              <w:top w:val="nil"/>
              <w:left w:val="nil"/>
              <w:bottom w:val="nil"/>
              <w:right w:val="nil"/>
            </w:tcBorders>
            <w:shd w:val="clear" w:color="auto" w:fill="auto"/>
            <w:noWrap/>
            <w:vAlign w:val="bottom"/>
            <w:hideMark/>
          </w:tcPr>
          <w:p w14:paraId="6AB5BE1E"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Urban</w:t>
            </w:r>
          </w:p>
        </w:tc>
        <w:tc>
          <w:tcPr>
            <w:tcW w:w="948" w:type="dxa"/>
            <w:tcBorders>
              <w:top w:val="nil"/>
              <w:left w:val="nil"/>
              <w:bottom w:val="nil"/>
              <w:right w:val="nil"/>
            </w:tcBorders>
            <w:shd w:val="clear" w:color="auto" w:fill="auto"/>
            <w:noWrap/>
            <w:vAlign w:val="bottom"/>
            <w:hideMark/>
          </w:tcPr>
          <w:p w14:paraId="594B7E0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48</w:t>
            </w:r>
          </w:p>
        </w:tc>
        <w:tc>
          <w:tcPr>
            <w:tcW w:w="1185" w:type="dxa"/>
            <w:tcBorders>
              <w:top w:val="nil"/>
              <w:left w:val="nil"/>
              <w:bottom w:val="nil"/>
              <w:right w:val="nil"/>
            </w:tcBorders>
            <w:shd w:val="clear" w:color="auto" w:fill="auto"/>
            <w:noWrap/>
            <w:vAlign w:val="bottom"/>
            <w:hideMark/>
          </w:tcPr>
          <w:p w14:paraId="402FD4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0.90</w:t>
            </w:r>
          </w:p>
        </w:tc>
        <w:tc>
          <w:tcPr>
            <w:tcW w:w="1038" w:type="dxa"/>
            <w:tcBorders>
              <w:top w:val="nil"/>
              <w:left w:val="nil"/>
              <w:bottom w:val="nil"/>
              <w:right w:val="nil"/>
            </w:tcBorders>
            <w:shd w:val="clear" w:color="auto" w:fill="auto"/>
            <w:noWrap/>
            <w:vAlign w:val="bottom"/>
            <w:hideMark/>
          </w:tcPr>
          <w:p w14:paraId="05EF5E9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1038" w:type="dxa"/>
            <w:tcBorders>
              <w:top w:val="nil"/>
              <w:left w:val="nil"/>
              <w:bottom w:val="nil"/>
              <w:right w:val="nil"/>
            </w:tcBorders>
            <w:shd w:val="clear" w:color="auto" w:fill="auto"/>
            <w:noWrap/>
            <w:vAlign w:val="bottom"/>
            <w:hideMark/>
          </w:tcPr>
          <w:p w14:paraId="4B0BB20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897" w:type="dxa"/>
            <w:tcBorders>
              <w:top w:val="nil"/>
              <w:left w:val="nil"/>
              <w:bottom w:val="nil"/>
              <w:right w:val="nil"/>
            </w:tcBorders>
            <w:shd w:val="clear" w:color="auto" w:fill="auto"/>
            <w:noWrap/>
            <w:vAlign w:val="bottom"/>
            <w:hideMark/>
          </w:tcPr>
          <w:p w14:paraId="1ABA5A3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8" w:type="dxa"/>
            <w:tcBorders>
              <w:top w:val="nil"/>
              <w:left w:val="nil"/>
              <w:bottom w:val="nil"/>
              <w:right w:val="nil"/>
            </w:tcBorders>
            <w:shd w:val="clear" w:color="auto" w:fill="auto"/>
            <w:noWrap/>
            <w:vAlign w:val="bottom"/>
            <w:hideMark/>
          </w:tcPr>
          <w:p w14:paraId="7A24B4D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038" w:type="dxa"/>
            <w:tcBorders>
              <w:top w:val="nil"/>
              <w:left w:val="nil"/>
              <w:bottom w:val="nil"/>
              <w:right w:val="nil"/>
            </w:tcBorders>
            <w:shd w:val="clear" w:color="auto" w:fill="auto"/>
            <w:noWrap/>
            <w:vAlign w:val="bottom"/>
            <w:hideMark/>
          </w:tcPr>
          <w:p w14:paraId="6D3B994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8.3</w:t>
            </w:r>
          </w:p>
        </w:tc>
      </w:tr>
      <w:tr w:rsidR="007653D0" w:rsidRPr="0016235B" w14:paraId="4552DB3F" w14:textId="77777777" w:rsidTr="007653D0">
        <w:trPr>
          <w:trHeight w:val="300"/>
        </w:trPr>
        <w:tc>
          <w:tcPr>
            <w:tcW w:w="2178" w:type="dxa"/>
            <w:tcBorders>
              <w:top w:val="nil"/>
              <w:left w:val="nil"/>
              <w:bottom w:val="nil"/>
              <w:right w:val="nil"/>
            </w:tcBorders>
            <w:shd w:val="clear" w:color="auto" w:fill="auto"/>
            <w:noWrap/>
            <w:vAlign w:val="bottom"/>
            <w:hideMark/>
          </w:tcPr>
          <w:p w14:paraId="48C7E8BA"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Rural</w:t>
            </w:r>
          </w:p>
        </w:tc>
        <w:tc>
          <w:tcPr>
            <w:tcW w:w="948" w:type="dxa"/>
            <w:tcBorders>
              <w:top w:val="nil"/>
              <w:left w:val="nil"/>
              <w:bottom w:val="nil"/>
              <w:right w:val="nil"/>
            </w:tcBorders>
            <w:shd w:val="clear" w:color="auto" w:fill="auto"/>
            <w:noWrap/>
            <w:vAlign w:val="bottom"/>
            <w:hideMark/>
          </w:tcPr>
          <w:p w14:paraId="3837F77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65</w:t>
            </w:r>
          </w:p>
        </w:tc>
        <w:tc>
          <w:tcPr>
            <w:tcW w:w="1185" w:type="dxa"/>
            <w:tcBorders>
              <w:top w:val="nil"/>
              <w:left w:val="nil"/>
              <w:bottom w:val="nil"/>
              <w:right w:val="nil"/>
            </w:tcBorders>
            <w:shd w:val="clear" w:color="auto" w:fill="auto"/>
            <w:noWrap/>
            <w:vAlign w:val="bottom"/>
            <w:hideMark/>
          </w:tcPr>
          <w:p w14:paraId="561C9C0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0.92</w:t>
            </w:r>
          </w:p>
        </w:tc>
        <w:tc>
          <w:tcPr>
            <w:tcW w:w="1038" w:type="dxa"/>
            <w:tcBorders>
              <w:top w:val="nil"/>
              <w:left w:val="nil"/>
              <w:bottom w:val="nil"/>
              <w:right w:val="nil"/>
            </w:tcBorders>
            <w:shd w:val="clear" w:color="auto" w:fill="auto"/>
            <w:noWrap/>
            <w:vAlign w:val="bottom"/>
            <w:hideMark/>
          </w:tcPr>
          <w:p w14:paraId="229A29D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33.9</w:t>
            </w:r>
          </w:p>
        </w:tc>
        <w:tc>
          <w:tcPr>
            <w:tcW w:w="1038" w:type="dxa"/>
            <w:tcBorders>
              <w:top w:val="nil"/>
              <w:left w:val="nil"/>
              <w:bottom w:val="nil"/>
              <w:right w:val="nil"/>
            </w:tcBorders>
            <w:shd w:val="clear" w:color="auto" w:fill="auto"/>
            <w:noWrap/>
            <w:vAlign w:val="bottom"/>
            <w:hideMark/>
          </w:tcPr>
          <w:p w14:paraId="0F449FB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9.2</w:t>
            </w:r>
          </w:p>
        </w:tc>
        <w:tc>
          <w:tcPr>
            <w:tcW w:w="897" w:type="dxa"/>
            <w:tcBorders>
              <w:top w:val="nil"/>
              <w:left w:val="nil"/>
              <w:bottom w:val="nil"/>
              <w:right w:val="nil"/>
            </w:tcBorders>
            <w:shd w:val="clear" w:color="auto" w:fill="auto"/>
            <w:noWrap/>
            <w:vAlign w:val="bottom"/>
            <w:hideMark/>
          </w:tcPr>
          <w:p w14:paraId="56AED05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40.0</w:t>
            </w:r>
          </w:p>
        </w:tc>
        <w:tc>
          <w:tcPr>
            <w:tcW w:w="1038" w:type="dxa"/>
            <w:tcBorders>
              <w:top w:val="nil"/>
              <w:left w:val="nil"/>
              <w:bottom w:val="nil"/>
              <w:right w:val="nil"/>
            </w:tcBorders>
            <w:shd w:val="clear" w:color="auto" w:fill="auto"/>
            <w:noWrap/>
            <w:vAlign w:val="bottom"/>
            <w:hideMark/>
          </w:tcPr>
          <w:p w14:paraId="0B7B9CA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6.2</w:t>
            </w:r>
          </w:p>
        </w:tc>
        <w:tc>
          <w:tcPr>
            <w:tcW w:w="1038" w:type="dxa"/>
            <w:tcBorders>
              <w:top w:val="nil"/>
              <w:left w:val="nil"/>
              <w:bottom w:val="nil"/>
              <w:right w:val="nil"/>
            </w:tcBorders>
            <w:shd w:val="clear" w:color="auto" w:fill="auto"/>
            <w:noWrap/>
            <w:vAlign w:val="bottom"/>
            <w:hideMark/>
          </w:tcPr>
          <w:p w14:paraId="2035A6F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10.8</w:t>
            </w:r>
          </w:p>
        </w:tc>
      </w:tr>
      <w:tr w:rsidR="007653D0" w:rsidRPr="0016235B" w14:paraId="4FF70D53" w14:textId="77777777" w:rsidTr="007653D0">
        <w:trPr>
          <w:trHeight w:val="300"/>
        </w:trPr>
        <w:tc>
          <w:tcPr>
            <w:tcW w:w="2178" w:type="dxa"/>
            <w:tcBorders>
              <w:top w:val="nil"/>
              <w:left w:val="nil"/>
              <w:bottom w:val="nil"/>
              <w:right w:val="nil"/>
            </w:tcBorders>
            <w:shd w:val="clear" w:color="000000" w:fill="E7E6E6"/>
            <w:noWrap/>
            <w:vAlign w:val="bottom"/>
            <w:hideMark/>
          </w:tcPr>
          <w:p w14:paraId="16B1DC5A"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Health Region</w:t>
            </w:r>
          </w:p>
        </w:tc>
        <w:tc>
          <w:tcPr>
            <w:tcW w:w="948" w:type="dxa"/>
            <w:tcBorders>
              <w:top w:val="nil"/>
              <w:left w:val="nil"/>
              <w:bottom w:val="nil"/>
              <w:right w:val="nil"/>
            </w:tcBorders>
            <w:shd w:val="clear" w:color="000000" w:fill="E7E6E6"/>
            <w:noWrap/>
            <w:vAlign w:val="bottom"/>
            <w:hideMark/>
          </w:tcPr>
          <w:p w14:paraId="405F21B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185" w:type="dxa"/>
            <w:tcBorders>
              <w:top w:val="nil"/>
              <w:left w:val="nil"/>
              <w:bottom w:val="nil"/>
              <w:right w:val="nil"/>
            </w:tcBorders>
            <w:shd w:val="clear" w:color="000000" w:fill="E7E6E6"/>
            <w:noWrap/>
            <w:vAlign w:val="bottom"/>
            <w:hideMark/>
          </w:tcPr>
          <w:p w14:paraId="1C9D4C17"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38" w:type="dxa"/>
            <w:tcBorders>
              <w:top w:val="nil"/>
              <w:left w:val="nil"/>
              <w:bottom w:val="nil"/>
              <w:right w:val="nil"/>
            </w:tcBorders>
            <w:shd w:val="clear" w:color="000000" w:fill="E7E6E6"/>
            <w:noWrap/>
            <w:vAlign w:val="bottom"/>
            <w:hideMark/>
          </w:tcPr>
          <w:p w14:paraId="597CC354"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225E577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897" w:type="dxa"/>
            <w:tcBorders>
              <w:top w:val="nil"/>
              <w:left w:val="nil"/>
              <w:bottom w:val="nil"/>
              <w:right w:val="nil"/>
            </w:tcBorders>
            <w:shd w:val="clear" w:color="000000" w:fill="E7E6E6"/>
            <w:noWrap/>
            <w:vAlign w:val="bottom"/>
            <w:hideMark/>
          </w:tcPr>
          <w:p w14:paraId="184E43E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0D90B0D2"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8" w:type="dxa"/>
            <w:tcBorders>
              <w:top w:val="nil"/>
              <w:left w:val="nil"/>
              <w:bottom w:val="nil"/>
              <w:right w:val="nil"/>
            </w:tcBorders>
            <w:shd w:val="clear" w:color="000000" w:fill="E7E6E6"/>
            <w:noWrap/>
            <w:vAlign w:val="bottom"/>
            <w:hideMark/>
          </w:tcPr>
          <w:p w14:paraId="02DC13FA"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2695F0FC" w14:textId="77777777" w:rsidTr="007653D0">
        <w:trPr>
          <w:trHeight w:val="300"/>
        </w:trPr>
        <w:tc>
          <w:tcPr>
            <w:tcW w:w="2178" w:type="dxa"/>
            <w:tcBorders>
              <w:top w:val="nil"/>
              <w:left w:val="nil"/>
              <w:bottom w:val="nil"/>
              <w:right w:val="nil"/>
            </w:tcBorders>
            <w:shd w:val="clear" w:color="auto" w:fill="auto"/>
            <w:noWrap/>
            <w:vAlign w:val="bottom"/>
            <w:hideMark/>
          </w:tcPr>
          <w:p w14:paraId="53C7092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Central1</w:t>
            </w:r>
          </w:p>
        </w:tc>
        <w:tc>
          <w:tcPr>
            <w:tcW w:w="948" w:type="dxa"/>
            <w:tcBorders>
              <w:top w:val="nil"/>
              <w:left w:val="nil"/>
              <w:bottom w:val="nil"/>
              <w:right w:val="nil"/>
            </w:tcBorders>
            <w:shd w:val="clear" w:color="auto" w:fill="auto"/>
            <w:noWrap/>
            <w:vAlign w:val="bottom"/>
            <w:hideMark/>
          </w:tcPr>
          <w:p w14:paraId="15B6685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w:t>
            </w:r>
          </w:p>
        </w:tc>
        <w:tc>
          <w:tcPr>
            <w:tcW w:w="1185" w:type="dxa"/>
            <w:tcBorders>
              <w:top w:val="nil"/>
              <w:left w:val="nil"/>
              <w:bottom w:val="nil"/>
              <w:right w:val="nil"/>
            </w:tcBorders>
            <w:shd w:val="clear" w:color="auto" w:fill="auto"/>
            <w:noWrap/>
            <w:vAlign w:val="bottom"/>
            <w:hideMark/>
          </w:tcPr>
          <w:p w14:paraId="11CDCFA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0.75</w:t>
            </w:r>
          </w:p>
        </w:tc>
        <w:tc>
          <w:tcPr>
            <w:tcW w:w="1038" w:type="dxa"/>
            <w:tcBorders>
              <w:top w:val="nil"/>
              <w:left w:val="nil"/>
              <w:bottom w:val="nil"/>
              <w:right w:val="nil"/>
            </w:tcBorders>
            <w:shd w:val="clear" w:color="auto" w:fill="auto"/>
            <w:noWrap/>
            <w:vAlign w:val="bottom"/>
            <w:hideMark/>
          </w:tcPr>
          <w:p w14:paraId="1FA367A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47.4</w:t>
            </w:r>
          </w:p>
        </w:tc>
        <w:tc>
          <w:tcPr>
            <w:tcW w:w="1038" w:type="dxa"/>
            <w:tcBorders>
              <w:top w:val="nil"/>
              <w:left w:val="nil"/>
              <w:bottom w:val="nil"/>
              <w:right w:val="nil"/>
            </w:tcBorders>
            <w:shd w:val="clear" w:color="auto" w:fill="auto"/>
            <w:noWrap/>
            <w:vAlign w:val="bottom"/>
            <w:hideMark/>
          </w:tcPr>
          <w:p w14:paraId="5ACB1C9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5.3</w:t>
            </w:r>
          </w:p>
        </w:tc>
        <w:tc>
          <w:tcPr>
            <w:tcW w:w="897" w:type="dxa"/>
            <w:tcBorders>
              <w:top w:val="nil"/>
              <w:left w:val="nil"/>
              <w:bottom w:val="nil"/>
              <w:right w:val="nil"/>
            </w:tcBorders>
            <w:shd w:val="clear" w:color="auto" w:fill="auto"/>
            <w:noWrap/>
            <w:vAlign w:val="bottom"/>
            <w:hideMark/>
          </w:tcPr>
          <w:p w14:paraId="3D13F6C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42.1</w:t>
            </w:r>
          </w:p>
        </w:tc>
        <w:tc>
          <w:tcPr>
            <w:tcW w:w="1038" w:type="dxa"/>
            <w:tcBorders>
              <w:top w:val="nil"/>
              <w:left w:val="nil"/>
              <w:bottom w:val="nil"/>
              <w:right w:val="nil"/>
            </w:tcBorders>
            <w:shd w:val="clear" w:color="auto" w:fill="auto"/>
            <w:noWrap/>
            <w:vAlign w:val="bottom"/>
            <w:hideMark/>
          </w:tcPr>
          <w:p w14:paraId="41EE7BF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8" w:type="dxa"/>
            <w:tcBorders>
              <w:top w:val="nil"/>
              <w:left w:val="nil"/>
              <w:bottom w:val="nil"/>
              <w:right w:val="nil"/>
            </w:tcBorders>
            <w:shd w:val="clear" w:color="auto" w:fill="auto"/>
            <w:noWrap/>
            <w:vAlign w:val="bottom"/>
            <w:hideMark/>
          </w:tcPr>
          <w:p w14:paraId="7517A15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5.3</w:t>
            </w:r>
          </w:p>
        </w:tc>
      </w:tr>
      <w:tr w:rsidR="007653D0" w:rsidRPr="0016235B" w14:paraId="45EFDD68" w14:textId="77777777" w:rsidTr="007653D0">
        <w:trPr>
          <w:trHeight w:val="300"/>
        </w:trPr>
        <w:tc>
          <w:tcPr>
            <w:tcW w:w="2178" w:type="dxa"/>
            <w:tcBorders>
              <w:top w:val="nil"/>
              <w:left w:val="nil"/>
              <w:bottom w:val="nil"/>
              <w:right w:val="nil"/>
            </w:tcBorders>
            <w:shd w:val="clear" w:color="auto" w:fill="auto"/>
            <w:noWrap/>
            <w:vAlign w:val="bottom"/>
            <w:hideMark/>
          </w:tcPr>
          <w:p w14:paraId="614AAD9D"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Central2</w:t>
            </w:r>
          </w:p>
        </w:tc>
        <w:tc>
          <w:tcPr>
            <w:tcW w:w="948" w:type="dxa"/>
            <w:tcBorders>
              <w:top w:val="nil"/>
              <w:left w:val="nil"/>
              <w:bottom w:val="nil"/>
              <w:right w:val="nil"/>
            </w:tcBorders>
            <w:shd w:val="clear" w:color="auto" w:fill="auto"/>
            <w:noWrap/>
            <w:vAlign w:val="bottom"/>
            <w:hideMark/>
          </w:tcPr>
          <w:p w14:paraId="08F3577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185" w:type="dxa"/>
            <w:tcBorders>
              <w:top w:val="nil"/>
              <w:left w:val="nil"/>
              <w:bottom w:val="nil"/>
              <w:right w:val="nil"/>
            </w:tcBorders>
            <w:shd w:val="clear" w:color="auto" w:fill="auto"/>
            <w:noWrap/>
            <w:vAlign w:val="bottom"/>
            <w:hideMark/>
          </w:tcPr>
          <w:p w14:paraId="7A6F84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0.79</w:t>
            </w:r>
          </w:p>
        </w:tc>
        <w:tc>
          <w:tcPr>
            <w:tcW w:w="1038" w:type="dxa"/>
            <w:tcBorders>
              <w:top w:val="nil"/>
              <w:left w:val="nil"/>
              <w:bottom w:val="nil"/>
              <w:right w:val="nil"/>
            </w:tcBorders>
            <w:shd w:val="clear" w:color="auto" w:fill="auto"/>
            <w:noWrap/>
            <w:vAlign w:val="bottom"/>
            <w:hideMark/>
          </w:tcPr>
          <w:p w14:paraId="234CC09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1038" w:type="dxa"/>
            <w:tcBorders>
              <w:top w:val="nil"/>
              <w:left w:val="nil"/>
              <w:bottom w:val="nil"/>
              <w:right w:val="nil"/>
            </w:tcBorders>
            <w:shd w:val="clear" w:color="auto" w:fill="auto"/>
            <w:noWrap/>
            <w:vAlign w:val="bottom"/>
            <w:hideMark/>
          </w:tcPr>
          <w:p w14:paraId="52841D1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97" w:type="dxa"/>
            <w:tcBorders>
              <w:top w:val="nil"/>
              <w:left w:val="nil"/>
              <w:bottom w:val="nil"/>
              <w:right w:val="nil"/>
            </w:tcBorders>
            <w:shd w:val="clear" w:color="auto" w:fill="auto"/>
            <w:noWrap/>
            <w:vAlign w:val="bottom"/>
            <w:hideMark/>
          </w:tcPr>
          <w:p w14:paraId="315BFD5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8" w:type="dxa"/>
            <w:tcBorders>
              <w:top w:val="nil"/>
              <w:left w:val="nil"/>
              <w:bottom w:val="nil"/>
              <w:right w:val="nil"/>
            </w:tcBorders>
            <w:shd w:val="clear" w:color="auto" w:fill="auto"/>
            <w:noWrap/>
            <w:vAlign w:val="bottom"/>
            <w:hideMark/>
          </w:tcPr>
          <w:p w14:paraId="3112456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8" w:type="dxa"/>
            <w:tcBorders>
              <w:top w:val="nil"/>
              <w:left w:val="nil"/>
              <w:bottom w:val="nil"/>
              <w:right w:val="nil"/>
            </w:tcBorders>
            <w:shd w:val="clear" w:color="auto" w:fill="auto"/>
            <w:noWrap/>
            <w:vAlign w:val="bottom"/>
            <w:hideMark/>
          </w:tcPr>
          <w:p w14:paraId="24FE2C2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39D37084" w14:textId="77777777" w:rsidTr="007653D0">
        <w:trPr>
          <w:trHeight w:val="300"/>
        </w:trPr>
        <w:tc>
          <w:tcPr>
            <w:tcW w:w="2178" w:type="dxa"/>
            <w:tcBorders>
              <w:top w:val="nil"/>
              <w:left w:val="nil"/>
              <w:bottom w:val="nil"/>
              <w:right w:val="nil"/>
            </w:tcBorders>
            <w:shd w:val="clear" w:color="auto" w:fill="auto"/>
            <w:noWrap/>
            <w:vAlign w:val="bottom"/>
            <w:hideMark/>
          </w:tcPr>
          <w:p w14:paraId="1E0DBC72"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Kampala</w:t>
            </w:r>
          </w:p>
        </w:tc>
        <w:tc>
          <w:tcPr>
            <w:tcW w:w="948" w:type="dxa"/>
            <w:tcBorders>
              <w:top w:val="nil"/>
              <w:left w:val="nil"/>
              <w:bottom w:val="nil"/>
              <w:right w:val="nil"/>
            </w:tcBorders>
            <w:shd w:val="clear" w:color="auto" w:fill="auto"/>
            <w:noWrap/>
            <w:vAlign w:val="bottom"/>
            <w:hideMark/>
          </w:tcPr>
          <w:p w14:paraId="100316D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w:t>
            </w:r>
          </w:p>
        </w:tc>
        <w:tc>
          <w:tcPr>
            <w:tcW w:w="1185" w:type="dxa"/>
            <w:tcBorders>
              <w:top w:val="nil"/>
              <w:left w:val="nil"/>
              <w:bottom w:val="nil"/>
              <w:right w:val="nil"/>
            </w:tcBorders>
            <w:shd w:val="clear" w:color="auto" w:fill="auto"/>
            <w:noWrap/>
            <w:vAlign w:val="bottom"/>
            <w:hideMark/>
          </w:tcPr>
          <w:p w14:paraId="618FFD2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0.86</w:t>
            </w:r>
          </w:p>
        </w:tc>
        <w:tc>
          <w:tcPr>
            <w:tcW w:w="1038" w:type="dxa"/>
            <w:tcBorders>
              <w:top w:val="nil"/>
              <w:left w:val="nil"/>
              <w:bottom w:val="nil"/>
              <w:right w:val="nil"/>
            </w:tcBorders>
            <w:shd w:val="clear" w:color="auto" w:fill="auto"/>
            <w:noWrap/>
            <w:vAlign w:val="bottom"/>
            <w:hideMark/>
          </w:tcPr>
          <w:p w14:paraId="6BEF090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1038" w:type="dxa"/>
            <w:tcBorders>
              <w:top w:val="nil"/>
              <w:left w:val="nil"/>
              <w:bottom w:val="nil"/>
              <w:right w:val="nil"/>
            </w:tcBorders>
            <w:shd w:val="clear" w:color="auto" w:fill="auto"/>
            <w:noWrap/>
            <w:vAlign w:val="bottom"/>
            <w:hideMark/>
          </w:tcPr>
          <w:p w14:paraId="4C3AE95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897" w:type="dxa"/>
            <w:tcBorders>
              <w:top w:val="nil"/>
              <w:left w:val="nil"/>
              <w:bottom w:val="nil"/>
              <w:right w:val="nil"/>
            </w:tcBorders>
            <w:shd w:val="clear" w:color="auto" w:fill="auto"/>
            <w:noWrap/>
            <w:vAlign w:val="bottom"/>
            <w:hideMark/>
          </w:tcPr>
          <w:p w14:paraId="0B15F89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55.6</w:t>
            </w:r>
          </w:p>
        </w:tc>
        <w:tc>
          <w:tcPr>
            <w:tcW w:w="1038" w:type="dxa"/>
            <w:tcBorders>
              <w:top w:val="nil"/>
              <w:left w:val="nil"/>
              <w:bottom w:val="nil"/>
              <w:right w:val="nil"/>
            </w:tcBorders>
            <w:shd w:val="clear" w:color="auto" w:fill="auto"/>
            <w:noWrap/>
            <w:vAlign w:val="bottom"/>
            <w:hideMark/>
          </w:tcPr>
          <w:p w14:paraId="64EE476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8" w:type="dxa"/>
            <w:tcBorders>
              <w:top w:val="nil"/>
              <w:left w:val="nil"/>
              <w:bottom w:val="nil"/>
              <w:right w:val="nil"/>
            </w:tcBorders>
            <w:shd w:val="clear" w:color="auto" w:fill="auto"/>
            <w:noWrap/>
            <w:vAlign w:val="bottom"/>
            <w:hideMark/>
          </w:tcPr>
          <w:p w14:paraId="2435AA4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31C82188" w14:textId="77777777" w:rsidTr="007653D0">
        <w:trPr>
          <w:trHeight w:val="300"/>
        </w:trPr>
        <w:tc>
          <w:tcPr>
            <w:tcW w:w="2178" w:type="dxa"/>
            <w:tcBorders>
              <w:top w:val="nil"/>
              <w:left w:val="nil"/>
              <w:bottom w:val="nil"/>
              <w:right w:val="nil"/>
            </w:tcBorders>
            <w:shd w:val="clear" w:color="auto" w:fill="auto"/>
            <w:noWrap/>
            <w:vAlign w:val="bottom"/>
            <w:hideMark/>
          </w:tcPr>
          <w:p w14:paraId="7F904D4B"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Karamoja</w:t>
            </w:r>
          </w:p>
        </w:tc>
        <w:tc>
          <w:tcPr>
            <w:tcW w:w="948" w:type="dxa"/>
            <w:tcBorders>
              <w:top w:val="nil"/>
              <w:left w:val="nil"/>
              <w:bottom w:val="nil"/>
              <w:right w:val="nil"/>
            </w:tcBorders>
            <w:shd w:val="clear" w:color="auto" w:fill="auto"/>
            <w:noWrap/>
            <w:vAlign w:val="bottom"/>
            <w:hideMark/>
          </w:tcPr>
          <w:p w14:paraId="5DF2322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w:t>
            </w:r>
          </w:p>
        </w:tc>
        <w:tc>
          <w:tcPr>
            <w:tcW w:w="1185" w:type="dxa"/>
            <w:tcBorders>
              <w:top w:val="nil"/>
              <w:left w:val="nil"/>
              <w:bottom w:val="nil"/>
              <w:right w:val="nil"/>
            </w:tcBorders>
            <w:shd w:val="clear" w:color="auto" w:fill="auto"/>
            <w:noWrap/>
            <w:vAlign w:val="bottom"/>
            <w:hideMark/>
          </w:tcPr>
          <w:p w14:paraId="2F7BD2F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1.54</w:t>
            </w:r>
          </w:p>
        </w:tc>
        <w:tc>
          <w:tcPr>
            <w:tcW w:w="1038" w:type="dxa"/>
            <w:tcBorders>
              <w:top w:val="nil"/>
              <w:left w:val="nil"/>
              <w:bottom w:val="nil"/>
              <w:right w:val="nil"/>
            </w:tcBorders>
            <w:shd w:val="clear" w:color="auto" w:fill="auto"/>
            <w:noWrap/>
            <w:vAlign w:val="bottom"/>
            <w:hideMark/>
          </w:tcPr>
          <w:p w14:paraId="3C59602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40.0</w:t>
            </w:r>
          </w:p>
        </w:tc>
        <w:tc>
          <w:tcPr>
            <w:tcW w:w="1038" w:type="dxa"/>
            <w:tcBorders>
              <w:top w:val="nil"/>
              <w:left w:val="nil"/>
              <w:bottom w:val="nil"/>
              <w:right w:val="nil"/>
            </w:tcBorders>
            <w:shd w:val="clear" w:color="auto" w:fill="auto"/>
            <w:noWrap/>
            <w:vAlign w:val="bottom"/>
            <w:hideMark/>
          </w:tcPr>
          <w:p w14:paraId="4BCA1C1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97" w:type="dxa"/>
            <w:tcBorders>
              <w:top w:val="nil"/>
              <w:left w:val="nil"/>
              <w:bottom w:val="nil"/>
              <w:right w:val="nil"/>
            </w:tcBorders>
            <w:shd w:val="clear" w:color="auto" w:fill="auto"/>
            <w:noWrap/>
            <w:vAlign w:val="bottom"/>
            <w:hideMark/>
          </w:tcPr>
          <w:p w14:paraId="23A3B3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1038" w:type="dxa"/>
            <w:tcBorders>
              <w:top w:val="nil"/>
              <w:left w:val="nil"/>
              <w:bottom w:val="nil"/>
              <w:right w:val="nil"/>
            </w:tcBorders>
            <w:shd w:val="clear" w:color="auto" w:fill="auto"/>
            <w:noWrap/>
            <w:vAlign w:val="bottom"/>
            <w:hideMark/>
          </w:tcPr>
          <w:p w14:paraId="5A3B9A8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8" w:type="dxa"/>
            <w:tcBorders>
              <w:top w:val="nil"/>
              <w:left w:val="nil"/>
              <w:bottom w:val="nil"/>
              <w:right w:val="nil"/>
            </w:tcBorders>
            <w:shd w:val="clear" w:color="auto" w:fill="auto"/>
            <w:noWrap/>
            <w:vAlign w:val="bottom"/>
            <w:hideMark/>
          </w:tcPr>
          <w:p w14:paraId="3BA4867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40.0</w:t>
            </w:r>
          </w:p>
        </w:tc>
      </w:tr>
      <w:tr w:rsidR="007653D0" w:rsidRPr="0016235B" w14:paraId="7037BCFD" w14:textId="77777777" w:rsidTr="007653D0">
        <w:trPr>
          <w:trHeight w:val="300"/>
        </w:trPr>
        <w:tc>
          <w:tcPr>
            <w:tcW w:w="2178" w:type="dxa"/>
            <w:tcBorders>
              <w:top w:val="nil"/>
              <w:left w:val="nil"/>
              <w:bottom w:val="nil"/>
              <w:right w:val="nil"/>
            </w:tcBorders>
            <w:shd w:val="clear" w:color="auto" w:fill="auto"/>
            <w:noWrap/>
            <w:vAlign w:val="bottom"/>
            <w:hideMark/>
          </w:tcPr>
          <w:p w14:paraId="65BB3A1E" w14:textId="77777777" w:rsidR="007653D0" w:rsidRPr="0016235B" w:rsidRDefault="007653D0" w:rsidP="007653D0">
            <w:pPr>
              <w:spacing w:after="0" w:line="240" w:lineRule="auto"/>
              <w:rPr>
                <w:rFonts w:ascii="Candara" w:eastAsia="Times New Roman" w:hAnsi="Candara" w:cs="Calibri"/>
                <w:color w:val="000000"/>
                <w:sz w:val="20"/>
                <w:szCs w:val="20"/>
              </w:rPr>
            </w:pPr>
            <w:proofErr w:type="spellStart"/>
            <w:r w:rsidRPr="0016235B">
              <w:rPr>
                <w:rFonts w:ascii="Candara" w:eastAsia="Times New Roman" w:hAnsi="Candara" w:cs="Calibri"/>
                <w:color w:val="000000"/>
                <w:sz w:val="20"/>
                <w:szCs w:val="20"/>
              </w:rPr>
              <w:t>Mid East</w:t>
            </w:r>
            <w:proofErr w:type="spellEnd"/>
          </w:p>
        </w:tc>
        <w:tc>
          <w:tcPr>
            <w:tcW w:w="948" w:type="dxa"/>
            <w:tcBorders>
              <w:top w:val="nil"/>
              <w:left w:val="nil"/>
              <w:bottom w:val="nil"/>
              <w:right w:val="nil"/>
            </w:tcBorders>
            <w:shd w:val="clear" w:color="auto" w:fill="auto"/>
            <w:noWrap/>
            <w:vAlign w:val="bottom"/>
            <w:hideMark/>
          </w:tcPr>
          <w:p w14:paraId="5AB1775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w:t>
            </w:r>
          </w:p>
        </w:tc>
        <w:tc>
          <w:tcPr>
            <w:tcW w:w="1185" w:type="dxa"/>
            <w:tcBorders>
              <w:top w:val="nil"/>
              <w:left w:val="nil"/>
              <w:bottom w:val="nil"/>
              <w:right w:val="nil"/>
            </w:tcBorders>
            <w:shd w:val="clear" w:color="auto" w:fill="auto"/>
            <w:noWrap/>
            <w:vAlign w:val="bottom"/>
            <w:hideMark/>
          </w:tcPr>
          <w:p w14:paraId="653B909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0.97</w:t>
            </w:r>
          </w:p>
        </w:tc>
        <w:tc>
          <w:tcPr>
            <w:tcW w:w="1038" w:type="dxa"/>
            <w:tcBorders>
              <w:top w:val="nil"/>
              <w:left w:val="nil"/>
              <w:bottom w:val="nil"/>
              <w:right w:val="nil"/>
            </w:tcBorders>
            <w:shd w:val="clear" w:color="auto" w:fill="auto"/>
            <w:noWrap/>
            <w:vAlign w:val="bottom"/>
            <w:hideMark/>
          </w:tcPr>
          <w:p w14:paraId="392761E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038" w:type="dxa"/>
            <w:tcBorders>
              <w:top w:val="nil"/>
              <w:left w:val="nil"/>
              <w:bottom w:val="nil"/>
              <w:right w:val="nil"/>
            </w:tcBorders>
            <w:shd w:val="clear" w:color="auto" w:fill="auto"/>
            <w:noWrap/>
            <w:vAlign w:val="bottom"/>
            <w:hideMark/>
          </w:tcPr>
          <w:p w14:paraId="36E39B5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18.8</w:t>
            </w:r>
          </w:p>
        </w:tc>
        <w:tc>
          <w:tcPr>
            <w:tcW w:w="897" w:type="dxa"/>
            <w:tcBorders>
              <w:top w:val="nil"/>
              <w:left w:val="nil"/>
              <w:bottom w:val="nil"/>
              <w:right w:val="nil"/>
            </w:tcBorders>
            <w:shd w:val="clear" w:color="auto" w:fill="auto"/>
            <w:noWrap/>
            <w:vAlign w:val="bottom"/>
            <w:hideMark/>
          </w:tcPr>
          <w:p w14:paraId="54CBD3F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62.5</w:t>
            </w:r>
          </w:p>
        </w:tc>
        <w:tc>
          <w:tcPr>
            <w:tcW w:w="1038" w:type="dxa"/>
            <w:tcBorders>
              <w:top w:val="nil"/>
              <w:left w:val="nil"/>
              <w:bottom w:val="nil"/>
              <w:right w:val="nil"/>
            </w:tcBorders>
            <w:shd w:val="clear" w:color="auto" w:fill="auto"/>
            <w:noWrap/>
            <w:vAlign w:val="bottom"/>
            <w:hideMark/>
          </w:tcPr>
          <w:p w14:paraId="2A907A4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8" w:type="dxa"/>
            <w:tcBorders>
              <w:top w:val="nil"/>
              <w:left w:val="nil"/>
              <w:bottom w:val="nil"/>
              <w:right w:val="nil"/>
            </w:tcBorders>
            <w:shd w:val="clear" w:color="auto" w:fill="auto"/>
            <w:noWrap/>
            <w:vAlign w:val="bottom"/>
            <w:hideMark/>
          </w:tcPr>
          <w:p w14:paraId="03AF1EA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6.3</w:t>
            </w:r>
          </w:p>
        </w:tc>
      </w:tr>
      <w:tr w:rsidR="007653D0" w:rsidRPr="0016235B" w14:paraId="7352AEB2" w14:textId="77777777" w:rsidTr="007653D0">
        <w:trPr>
          <w:trHeight w:val="300"/>
        </w:trPr>
        <w:tc>
          <w:tcPr>
            <w:tcW w:w="2178" w:type="dxa"/>
            <w:tcBorders>
              <w:top w:val="nil"/>
              <w:left w:val="nil"/>
              <w:bottom w:val="nil"/>
              <w:right w:val="nil"/>
            </w:tcBorders>
            <w:shd w:val="clear" w:color="auto" w:fill="auto"/>
            <w:noWrap/>
            <w:vAlign w:val="bottom"/>
            <w:hideMark/>
          </w:tcPr>
          <w:p w14:paraId="255A2B5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Mid-North</w:t>
            </w:r>
          </w:p>
        </w:tc>
        <w:tc>
          <w:tcPr>
            <w:tcW w:w="948" w:type="dxa"/>
            <w:tcBorders>
              <w:top w:val="nil"/>
              <w:left w:val="nil"/>
              <w:bottom w:val="nil"/>
              <w:right w:val="nil"/>
            </w:tcBorders>
            <w:shd w:val="clear" w:color="auto" w:fill="auto"/>
            <w:noWrap/>
            <w:vAlign w:val="bottom"/>
            <w:hideMark/>
          </w:tcPr>
          <w:p w14:paraId="0F3CDAE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w:t>
            </w:r>
          </w:p>
        </w:tc>
        <w:tc>
          <w:tcPr>
            <w:tcW w:w="1185" w:type="dxa"/>
            <w:tcBorders>
              <w:top w:val="nil"/>
              <w:left w:val="nil"/>
              <w:bottom w:val="nil"/>
              <w:right w:val="nil"/>
            </w:tcBorders>
            <w:shd w:val="clear" w:color="auto" w:fill="auto"/>
            <w:noWrap/>
            <w:vAlign w:val="bottom"/>
            <w:hideMark/>
          </w:tcPr>
          <w:p w14:paraId="2CA6C24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0.84</w:t>
            </w:r>
          </w:p>
        </w:tc>
        <w:tc>
          <w:tcPr>
            <w:tcW w:w="1038" w:type="dxa"/>
            <w:tcBorders>
              <w:top w:val="nil"/>
              <w:left w:val="nil"/>
              <w:bottom w:val="nil"/>
              <w:right w:val="nil"/>
            </w:tcBorders>
            <w:shd w:val="clear" w:color="auto" w:fill="auto"/>
            <w:noWrap/>
            <w:vAlign w:val="bottom"/>
            <w:hideMark/>
          </w:tcPr>
          <w:p w14:paraId="14773ED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38.5</w:t>
            </w:r>
          </w:p>
        </w:tc>
        <w:tc>
          <w:tcPr>
            <w:tcW w:w="1038" w:type="dxa"/>
            <w:tcBorders>
              <w:top w:val="nil"/>
              <w:left w:val="nil"/>
              <w:bottom w:val="nil"/>
              <w:right w:val="nil"/>
            </w:tcBorders>
            <w:shd w:val="clear" w:color="auto" w:fill="auto"/>
            <w:noWrap/>
            <w:vAlign w:val="bottom"/>
            <w:hideMark/>
          </w:tcPr>
          <w:p w14:paraId="3DB3527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7.7</w:t>
            </w:r>
          </w:p>
        </w:tc>
        <w:tc>
          <w:tcPr>
            <w:tcW w:w="897" w:type="dxa"/>
            <w:tcBorders>
              <w:top w:val="nil"/>
              <w:left w:val="nil"/>
              <w:bottom w:val="nil"/>
              <w:right w:val="nil"/>
            </w:tcBorders>
            <w:shd w:val="clear" w:color="auto" w:fill="auto"/>
            <w:noWrap/>
            <w:vAlign w:val="bottom"/>
            <w:hideMark/>
          </w:tcPr>
          <w:p w14:paraId="236E8EB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15.4</w:t>
            </w:r>
          </w:p>
        </w:tc>
        <w:tc>
          <w:tcPr>
            <w:tcW w:w="1038" w:type="dxa"/>
            <w:tcBorders>
              <w:top w:val="nil"/>
              <w:left w:val="nil"/>
              <w:bottom w:val="nil"/>
              <w:right w:val="nil"/>
            </w:tcBorders>
            <w:shd w:val="clear" w:color="auto" w:fill="auto"/>
            <w:noWrap/>
            <w:vAlign w:val="bottom"/>
            <w:hideMark/>
          </w:tcPr>
          <w:p w14:paraId="63650DB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30.8</w:t>
            </w:r>
          </w:p>
        </w:tc>
        <w:tc>
          <w:tcPr>
            <w:tcW w:w="1038" w:type="dxa"/>
            <w:tcBorders>
              <w:top w:val="nil"/>
              <w:left w:val="nil"/>
              <w:bottom w:val="nil"/>
              <w:right w:val="nil"/>
            </w:tcBorders>
            <w:shd w:val="clear" w:color="auto" w:fill="auto"/>
            <w:noWrap/>
            <w:vAlign w:val="bottom"/>
            <w:hideMark/>
          </w:tcPr>
          <w:p w14:paraId="36CD0C0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7.7</w:t>
            </w:r>
          </w:p>
        </w:tc>
      </w:tr>
      <w:tr w:rsidR="007653D0" w:rsidRPr="0016235B" w14:paraId="18AE4E6B" w14:textId="77777777" w:rsidTr="007653D0">
        <w:trPr>
          <w:trHeight w:val="300"/>
        </w:trPr>
        <w:tc>
          <w:tcPr>
            <w:tcW w:w="2178" w:type="dxa"/>
            <w:tcBorders>
              <w:top w:val="nil"/>
              <w:left w:val="nil"/>
              <w:bottom w:val="nil"/>
              <w:right w:val="nil"/>
            </w:tcBorders>
            <w:shd w:val="clear" w:color="auto" w:fill="auto"/>
            <w:noWrap/>
            <w:vAlign w:val="bottom"/>
            <w:hideMark/>
          </w:tcPr>
          <w:p w14:paraId="4604DA2D"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Mid-West</w:t>
            </w:r>
          </w:p>
        </w:tc>
        <w:tc>
          <w:tcPr>
            <w:tcW w:w="948" w:type="dxa"/>
            <w:tcBorders>
              <w:top w:val="nil"/>
              <w:left w:val="nil"/>
              <w:bottom w:val="nil"/>
              <w:right w:val="nil"/>
            </w:tcBorders>
            <w:shd w:val="clear" w:color="auto" w:fill="auto"/>
            <w:noWrap/>
            <w:vAlign w:val="bottom"/>
            <w:hideMark/>
          </w:tcPr>
          <w:p w14:paraId="4332BF6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w:t>
            </w:r>
          </w:p>
        </w:tc>
        <w:tc>
          <w:tcPr>
            <w:tcW w:w="1185" w:type="dxa"/>
            <w:tcBorders>
              <w:top w:val="nil"/>
              <w:left w:val="nil"/>
              <w:bottom w:val="nil"/>
              <w:right w:val="nil"/>
            </w:tcBorders>
            <w:shd w:val="clear" w:color="auto" w:fill="auto"/>
            <w:noWrap/>
            <w:vAlign w:val="bottom"/>
            <w:hideMark/>
          </w:tcPr>
          <w:p w14:paraId="0CE577B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0.91</w:t>
            </w:r>
          </w:p>
        </w:tc>
        <w:tc>
          <w:tcPr>
            <w:tcW w:w="1038" w:type="dxa"/>
            <w:tcBorders>
              <w:top w:val="nil"/>
              <w:left w:val="nil"/>
              <w:bottom w:val="nil"/>
              <w:right w:val="nil"/>
            </w:tcBorders>
            <w:shd w:val="clear" w:color="auto" w:fill="auto"/>
            <w:noWrap/>
            <w:vAlign w:val="bottom"/>
            <w:hideMark/>
          </w:tcPr>
          <w:p w14:paraId="5A2F2C4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30.0</w:t>
            </w:r>
          </w:p>
        </w:tc>
        <w:tc>
          <w:tcPr>
            <w:tcW w:w="1038" w:type="dxa"/>
            <w:tcBorders>
              <w:top w:val="nil"/>
              <w:left w:val="nil"/>
              <w:bottom w:val="nil"/>
              <w:right w:val="nil"/>
            </w:tcBorders>
            <w:shd w:val="clear" w:color="auto" w:fill="auto"/>
            <w:noWrap/>
            <w:vAlign w:val="bottom"/>
            <w:hideMark/>
          </w:tcPr>
          <w:p w14:paraId="5EC3915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897" w:type="dxa"/>
            <w:tcBorders>
              <w:top w:val="nil"/>
              <w:left w:val="nil"/>
              <w:bottom w:val="nil"/>
              <w:right w:val="nil"/>
            </w:tcBorders>
            <w:shd w:val="clear" w:color="auto" w:fill="auto"/>
            <w:noWrap/>
            <w:vAlign w:val="bottom"/>
            <w:hideMark/>
          </w:tcPr>
          <w:p w14:paraId="0FAB8AC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1038" w:type="dxa"/>
            <w:tcBorders>
              <w:top w:val="nil"/>
              <w:left w:val="nil"/>
              <w:bottom w:val="nil"/>
              <w:right w:val="nil"/>
            </w:tcBorders>
            <w:shd w:val="clear" w:color="auto" w:fill="auto"/>
            <w:noWrap/>
            <w:vAlign w:val="bottom"/>
            <w:hideMark/>
          </w:tcPr>
          <w:p w14:paraId="42F6C0E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1038" w:type="dxa"/>
            <w:tcBorders>
              <w:top w:val="nil"/>
              <w:left w:val="nil"/>
              <w:bottom w:val="nil"/>
              <w:right w:val="nil"/>
            </w:tcBorders>
            <w:shd w:val="clear" w:color="auto" w:fill="auto"/>
            <w:noWrap/>
            <w:vAlign w:val="bottom"/>
            <w:hideMark/>
          </w:tcPr>
          <w:p w14:paraId="0F53B0B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r>
      <w:tr w:rsidR="007653D0" w:rsidRPr="0016235B" w14:paraId="57D0F1C6" w14:textId="77777777" w:rsidTr="007653D0">
        <w:trPr>
          <w:trHeight w:val="300"/>
        </w:trPr>
        <w:tc>
          <w:tcPr>
            <w:tcW w:w="2178" w:type="dxa"/>
            <w:tcBorders>
              <w:top w:val="nil"/>
              <w:left w:val="nil"/>
              <w:bottom w:val="nil"/>
              <w:right w:val="nil"/>
            </w:tcBorders>
            <w:shd w:val="clear" w:color="auto" w:fill="auto"/>
            <w:noWrap/>
            <w:vAlign w:val="bottom"/>
            <w:hideMark/>
          </w:tcPr>
          <w:p w14:paraId="720329B9"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North East</w:t>
            </w:r>
          </w:p>
        </w:tc>
        <w:tc>
          <w:tcPr>
            <w:tcW w:w="948" w:type="dxa"/>
            <w:tcBorders>
              <w:top w:val="nil"/>
              <w:left w:val="nil"/>
              <w:bottom w:val="nil"/>
              <w:right w:val="nil"/>
            </w:tcBorders>
            <w:shd w:val="clear" w:color="auto" w:fill="auto"/>
            <w:noWrap/>
            <w:vAlign w:val="bottom"/>
            <w:hideMark/>
          </w:tcPr>
          <w:p w14:paraId="7E6489A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w:t>
            </w:r>
          </w:p>
        </w:tc>
        <w:tc>
          <w:tcPr>
            <w:tcW w:w="1185" w:type="dxa"/>
            <w:tcBorders>
              <w:top w:val="nil"/>
              <w:left w:val="nil"/>
              <w:bottom w:val="nil"/>
              <w:right w:val="nil"/>
            </w:tcBorders>
            <w:shd w:val="clear" w:color="auto" w:fill="auto"/>
            <w:noWrap/>
            <w:vAlign w:val="bottom"/>
            <w:hideMark/>
          </w:tcPr>
          <w:p w14:paraId="7201B7C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1.09</w:t>
            </w:r>
          </w:p>
        </w:tc>
        <w:tc>
          <w:tcPr>
            <w:tcW w:w="1038" w:type="dxa"/>
            <w:tcBorders>
              <w:top w:val="nil"/>
              <w:left w:val="nil"/>
              <w:bottom w:val="nil"/>
              <w:right w:val="nil"/>
            </w:tcBorders>
            <w:shd w:val="clear" w:color="auto" w:fill="auto"/>
            <w:noWrap/>
            <w:vAlign w:val="bottom"/>
            <w:hideMark/>
          </w:tcPr>
          <w:p w14:paraId="46F49E6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8" w:type="dxa"/>
            <w:tcBorders>
              <w:top w:val="nil"/>
              <w:left w:val="nil"/>
              <w:bottom w:val="nil"/>
              <w:right w:val="nil"/>
            </w:tcBorders>
            <w:shd w:val="clear" w:color="auto" w:fill="auto"/>
            <w:noWrap/>
            <w:vAlign w:val="bottom"/>
            <w:hideMark/>
          </w:tcPr>
          <w:p w14:paraId="316E473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97" w:type="dxa"/>
            <w:tcBorders>
              <w:top w:val="nil"/>
              <w:left w:val="nil"/>
              <w:bottom w:val="nil"/>
              <w:right w:val="nil"/>
            </w:tcBorders>
            <w:shd w:val="clear" w:color="auto" w:fill="auto"/>
            <w:noWrap/>
            <w:vAlign w:val="bottom"/>
            <w:hideMark/>
          </w:tcPr>
          <w:p w14:paraId="6EAEC25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1038" w:type="dxa"/>
            <w:tcBorders>
              <w:top w:val="nil"/>
              <w:left w:val="nil"/>
              <w:bottom w:val="nil"/>
              <w:right w:val="nil"/>
            </w:tcBorders>
            <w:shd w:val="clear" w:color="auto" w:fill="auto"/>
            <w:noWrap/>
            <w:vAlign w:val="bottom"/>
            <w:hideMark/>
          </w:tcPr>
          <w:p w14:paraId="4163BB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8" w:type="dxa"/>
            <w:tcBorders>
              <w:top w:val="nil"/>
              <w:left w:val="nil"/>
              <w:bottom w:val="nil"/>
              <w:right w:val="nil"/>
            </w:tcBorders>
            <w:shd w:val="clear" w:color="auto" w:fill="auto"/>
            <w:noWrap/>
            <w:vAlign w:val="bottom"/>
            <w:hideMark/>
          </w:tcPr>
          <w:p w14:paraId="2A2E932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66.7</w:t>
            </w:r>
          </w:p>
        </w:tc>
      </w:tr>
      <w:tr w:rsidR="007653D0" w:rsidRPr="0016235B" w14:paraId="1F0F7604" w14:textId="77777777" w:rsidTr="007653D0">
        <w:trPr>
          <w:trHeight w:val="300"/>
        </w:trPr>
        <w:tc>
          <w:tcPr>
            <w:tcW w:w="2178" w:type="dxa"/>
            <w:tcBorders>
              <w:top w:val="nil"/>
              <w:left w:val="nil"/>
              <w:bottom w:val="nil"/>
              <w:right w:val="nil"/>
            </w:tcBorders>
            <w:shd w:val="clear" w:color="auto" w:fill="auto"/>
            <w:noWrap/>
            <w:vAlign w:val="bottom"/>
            <w:hideMark/>
          </w:tcPr>
          <w:p w14:paraId="05D81D4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South West</w:t>
            </w:r>
          </w:p>
        </w:tc>
        <w:tc>
          <w:tcPr>
            <w:tcW w:w="948" w:type="dxa"/>
            <w:tcBorders>
              <w:top w:val="nil"/>
              <w:left w:val="nil"/>
              <w:bottom w:val="nil"/>
              <w:right w:val="nil"/>
            </w:tcBorders>
            <w:shd w:val="clear" w:color="auto" w:fill="auto"/>
            <w:noWrap/>
            <w:vAlign w:val="bottom"/>
            <w:hideMark/>
          </w:tcPr>
          <w:p w14:paraId="4EE74F2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w:t>
            </w:r>
          </w:p>
        </w:tc>
        <w:tc>
          <w:tcPr>
            <w:tcW w:w="1185" w:type="dxa"/>
            <w:tcBorders>
              <w:top w:val="nil"/>
              <w:left w:val="nil"/>
              <w:bottom w:val="nil"/>
              <w:right w:val="nil"/>
            </w:tcBorders>
            <w:shd w:val="clear" w:color="auto" w:fill="auto"/>
            <w:noWrap/>
            <w:vAlign w:val="bottom"/>
            <w:hideMark/>
          </w:tcPr>
          <w:p w14:paraId="1AD3A33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0.93</w:t>
            </w:r>
          </w:p>
        </w:tc>
        <w:tc>
          <w:tcPr>
            <w:tcW w:w="1038" w:type="dxa"/>
            <w:tcBorders>
              <w:top w:val="nil"/>
              <w:left w:val="nil"/>
              <w:bottom w:val="nil"/>
              <w:right w:val="nil"/>
            </w:tcBorders>
            <w:shd w:val="clear" w:color="auto" w:fill="auto"/>
            <w:noWrap/>
            <w:vAlign w:val="bottom"/>
            <w:hideMark/>
          </w:tcPr>
          <w:p w14:paraId="442A5DD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40.9</w:t>
            </w:r>
          </w:p>
        </w:tc>
        <w:tc>
          <w:tcPr>
            <w:tcW w:w="1038" w:type="dxa"/>
            <w:tcBorders>
              <w:top w:val="nil"/>
              <w:left w:val="nil"/>
              <w:bottom w:val="nil"/>
              <w:right w:val="nil"/>
            </w:tcBorders>
            <w:shd w:val="clear" w:color="auto" w:fill="auto"/>
            <w:noWrap/>
            <w:vAlign w:val="bottom"/>
            <w:hideMark/>
          </w:tcPr>
          <w:p w14:paraId="285EAC3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18.2</w:t>
            </w:r>
          </w:p>
        </w:tc>
        <w:tc>
          <w:tcPr>
            <w:tcW w:w="897" w:type="dxa"/>
            <w:tcBorders>
              <w:top w:val="nil"/>
              <w:left w:val="nil"/>
              <w:bottom w:val="nil"/>
              <w:right w:val="nil"/>
            </w:tcBorders>
            <w:shd w:val="clear" w:color="auto" w:fill="auto"/>
            <w:noWrap/>
            <w:vAlign w:val="bottom"/>
            <w:hideMark/>
          </w:tcPr>
          <w:p w14:paraId="5300984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22.7</w:t>
            </w:r>
          </w:p>
        </w:tc>
        <w:tc>
          <w:tcPr>
            <w:tcW w:w="1038" w:type="dxa"/>
            <w:tcBorders>
              <w:top w:val="nil"/>
              <w:left w:val="nil"/>
              <w:bottom w:val="nil"/>
              <w:right w:val="nil"/>
            </w:tcBorders>
            <w:shd w:val="clear" w:color="auto" w:fill="auto"/>
            <w:noWrap/>
            <w:vAlign w:val="bottom"/>
            <w:hideMark/>
          </w:tcPr>
          <w:p w14:paraId="58DF031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13.6</w:t>
            </w:r>
          </w:p>
        </w:tc>
        <w:tc>
          <w:tcPr>
            <w:tcW w:w="1038" w:type="dxa"/>
            <w:tcBorders>
              <w:top w:val="nil"/>
              <w:left w:val="nil"/>
              <w:bottom w:val="nil"/>
              <w:right w:val="nil"/>
            </w:tcBorders>
            <w:shd w:val="clear" w:color="auto" w:fill="auto"/>
            <w:noWrap/>
            <w:vAlign w:val="bottom"/>
            <w:hideMark/>
          </w:tcPr>
          <w:p w14:paraId="7E8713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4.6</w:t>
            </w:r>
          </w:p>
        </w:tc>
      </w:tr>
      <w:tr w:rsidR="007653D0" w:rsidRPr="0016235B" w14:paraId="79B9D19D" w14:textId="77777777" w:rsidTr="007653D0">
        <w:trPr>
          <w:trHeight w:val="300"/>
        </w:trPr>
        <w:tc>
          <w:tcPr>
            <w:tcW w:w="2178" w:type="dxa"/>
            <w:tcBorders>
              <w:top w:val="nil"/>
              <w:left w:val="nil"/>
              <w:bottom w:val="nil"/>
              <w:right w:val="nil"/>
            </w:tcBorders>
            <w:shd w:val="clear" w:color="auto" w:fill="auto"/>
            <w:noWrap/>
            <w:vAlign w:val="bottom"/>
            <w:hideMark/>
          </w:tcPr>
          <w:p w14:paraId="2F2F498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West Nile</w:t>
            </w:r>
          </w:p>
        </w:tc>
        <w:tc>
          <w:tcPr>
            <w:tcW w:w="948" w:type="dxa"/>
            <w:tcBorders>
              <w:top w:val="nil"/>
              <w:left w:val="nil"/>
              <w:bottom w:val="nil"/>
              <w:right w:val="nil"/>
            </w:tcBorders>
            <w:shd w:val="clear" w:color="auto" w:fill="auto"/>
            <w:noWrap/>
            <w:vAlign w:val="bottom"/>
            <w:hideMark/>
          </w:tcPr>
          <w:p w14:paraId="4423895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185" w:type="dxa"/>
            <w:tcBorders>
              <w:top w:val="nil"/>
              <w:left w:val="nil"/>
              <w:bottom w:val="nil"/>
              <w:right w:val="nil"/>
            </w:tcBorders>
            <w:shd w:val="clear" w:color="auto" w:fill="auto"/>
            <w:noWrap/>
            <w:vAlign w:val="bottom"/>
            <w:hideMark/>
          </w:tcPr>
          <w:p w14:paraId="2259BB2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0.96</w:t>
            </w:r>
          </w:p>
        </w:tc>
        <w:tc>
          <w:tcPr>
            <w:tcW w:w="1038" w:type="dxa"/>
            <w:tcBorders>
              <w:top w:val="nil"/>
              <w:left w:val="nil"/>
              <w:bottom w:val="nil"/>
              <w:right w:val="nil"/>
            </w:tcBorders>
            <w:shd w:val="clear" w:color="auto" w:fill="auto"/>
            <w:noWrap/>
            <w:vAlign w:val="bottom"/>
            <w:hideMark/>
          </w:tcPr>
          <w:p w14:paraId="676CD4F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038" w:type="dxa"/>
            <w:tcBorders>
              <w:top w:val="nil"/>
              <w:left w:val="nil"/>
              <w:bottom w:val="nil"/>
              <w:right w:val="nil"/>
            </w:tcBorders>
            <w:shd w:val="clear" w:color="auto" w:fill="auto"/>
            <w:noWrap/>
            <w:vAlign w:val="bottom"/>
            <w:hideMark/>
          </w:tcPr>
          <w:p w14:paraId="55335B8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897" w:type="dxa"/>
            <w:tcBorders>
              <w:top w:val="nil"/>
              <w:left w:val="nil"/>
              <w:bottom w:val="nil"/>
              <w:right w:val="nil"/>
            </w:tcBorders>
            <w:shd w:val="clear" w:color="auto" w:fill="auto"/>
            <w:noWrap/>
            <w:vAlign w:val="bottom"/>
            <w:hideMark/>
          </w:tcPr>
          <w:p w14:paraId="2E4C1D2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8" w:type="dxa"/>
            <w:tcBorders>
              <w:top w:val="nil"/>
              <w:left w:val="nil"/>
              <w:bottom w:val="nil"/>
              <w:right w:val="nil"/>
            </w:tcBorders>
            <w:shd w:val="clear" w:color="auto" w:fill="auto"/>
            <w:noWrap/>
            <w:vAlign w:val="bottom"/>
            <w:hideMark/>
          </w:tcPr>
          <w:p w14:paraId="3907D88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8" w:type="dxa"/>
            <w:tcBorders>
              <w:top w:val="nil"/>
              <w:left w:val="nil"/>
              <w:bottom w:val="nil"/>
              <w:right w:val="nil"/>
            </w:tcBorders>
            <w:shd w:val="clear" w:color="auto" w:fill="auto"/>
            <w:noWrap/>
            <w:vAlign w:val="bottom"/>
            <w:hideMark/>
          </w:tcPr>
          <w:p w14:paraId="7D09BD8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r>
      <w:tr w:rsidR="007653D0" w:rsidRPr="0016235B" w14:paraId="0582C13A" w14:textId="77777777" w:rsidTr="007653D0">
        <w:trPr>
          <w:trHeight w:val="300"/>
        </w:trPr>
        <w:tc>
          <w:tcPr>
            <w:tcW w:w="2178" w:type="dxa"/>
            <w:tcBorders>
              <w:top w:val="nil"/>
              <w:left w:val="nil"/>
              <w:bottom w:val="nil"/>
              <w:right w:val="nil"/>
            </w:tcBorders>
            <w:shd w:val="clear" w:color="000000" w:fill="E7E6E6"/>
            <w:noWrap/>
            <w:vAlign w:val="bottom"/>
            <w:hideMark/>
          </w:tcPr>
          <w:p w14:paraId="68AB7CED"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xml:space="preserve">Uganda </w:t>
            </w:r>
          </w:p>
        </w:tc>
        <w:tc>
          <w:tcPr>
            <w:tcW w:w="948" w:type="dxa"/>
            <w:tcBorders>
              <w:top w:val="nil"/>
              <w:left w:val="nil"/>
              <w:bottom w:val="nil"/>
              <w:right w:val="nil"/>
            </w:tcBorders>
            <w:shd w:val="clear" w:color="000000" w:fill="E7E6E6"/>
            <w:noWrap/>
            <w:vAlign w:val="bottom"/>
            <w:hideMark/>
          </w:tcPr>
          <w:p w14:paraId="15E48AE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113</w:t>
            </w:r>
          </w:p>
        </w:tc>
        <w:tc>
          <w:tcPr>
            <w:tcW w:w="1185" w:type="dxa"/>
            <w:tcBorders>
              <w:top w:val="nil"/>
              <w:left w:val="nil"/>
              <w:bottom w:val="nil"/>
              <w:right w:val="nil"/>
            </w:tcBorders>
            <w:shd w:val="clear" w:color="000000" w:fill="E7E6E6"/>
            <w:noWrap/>
            <w:vAlign w:val="bottom"/>
            <w:hideMark/>
          </w:tcPr>
          <w:p w14:paraId="7BB1B4F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0.91</w:t>
            </w:r>
          </w:p>
        </w:tc>
        <w:tc>
          <w:tcPr>
            <w:tcW w:w="1038" w:type="dxa"/>
            <w:tcBorders>
              <w:top w:val="nil"/>
              <w:left w:val="nil"/>
              <w:bottom w:val="nil"/>
              <w:right w:val="nil"/>
            </w:tcBorders>
            <w:shd w:val="clear" w:color="000000" w:fill="E7E6E6"/>
            <w:noWrap/>
            <w:vAlign w:val="bottom"/>
            <w:hideMark/>
          </w:tcPr>
          <w:p w14:paraId="6B77EA3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33.6</w:t>
            </w:r>
          </w:p>
        </w:tc>
        <w:tc>
          <w:tcPr>
            <w:tcW w:w="1038" w:type="dxa"/>
            <w:tcBorders>
              <w:top w:val="nil"/>
              <w:left w:val="nil"/>
              <w:bottom w:val="nil"/>
              <w:right w:val="nil"/>
            </w:tcBorders>
            <w:shd w:val="clear" w:color="000000" w:fill="E7E6E6"/>
            <w:noWrap/>
            <w:vAlign w:val="bottom"/>
            <w:hideMark/>
          </w:tcPr>
          <w:p w14:paraId="7260A69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12.4</w:t>
            </w:r>
          </w:p>
        </w:tc>
        <w:tc>
          <w:tcPr>
            <w:tcW w:w="897" w:type="dxa"/>
            <w:tcBorders>
              <w:top w:val="nil"/>
              <w:left w:val="nil"/>
              <w:bottom w:val="nil"/>
              <w:right w:val="nil"/>
            </w:tcBorders>
            <w:shd w:val="clear" w:color="000000" w:fill="E7E6E6"/>
            <w:noWrap/>
            <w:vAlign w:val="bottom"/>
            <w:hideMark/>
          </w:tcPr>
          <w:p w14:paraId="00E365F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33.6</w:t>
            </w:r>
          </w:p>
        </w:tc>
        <w:tc>
          <w:tcPr>
            <w:tcW w:w="1038" w:type="dxa"/>
            <w:tcBorders>
              <w:top w:val="nil"/>
              <w:left w:val="nil"/>
              <w:bottom w:val="nil"/>
              <w:right w:val="nil"/>
            </w:tcBorders>
            <w:shd w:val="clear" w:color="000000" w:fill="E7E6E6"/>
            <w:noWrap/>
            <w:vAlign w:val="bottom"/>
            <w:hideMark/>
          </w:tcPr>
          <w:p w14:paraId="2ECA90D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10.6</w:t>
            </w:r>
          </w:p>
        </w:tc>
        <w:tc>
          <w:tcPr>
            <w:tcW w:w="1038" w:type="dxa"/>
            <w:tcBorders>
              <w:top w:val="nil"/>
              <w:left w:val="nil"/>
              <w:bottom w:val="nil"/>
              <w:right w:val="nil"/>
            </w:tcBorders>
            <w:shd w:val="clear" w:color="000000" w:fill="E7E6E6"/>
            <w:noWrap/>
            <w:vAlign w:val="bottom"/>
            <w:hideMark/>
          </w:tcPr>
          <w:p w14:paraId="2C243E9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9.7</w:t>
            </w:r>
          </w:p>
        </w:tc>
      </w:tr>
    </w:tbl>
    <w:p w14:paraId="043B8209" w14:textId="77777777" w:rsidR="007653D0" w:rsidRPr="0016235B" w:rsidRDefault="007653D0" w:rsidP="005722F2">
      <w:pPr>
        <w:pStyle w:val="ListParagraph"/>
        <w:numPr>
          <w:ilvl w:val="0"/>
          <w:numId w:val="33"/>
        </w:numPr>
        <w:rPr>
          <w:rFonts w:ascii="Candara" w:hAnsi="Candara"/>
        </w:rPr>
      </w:pPr>
      <w:r w:rsidRPr="0016235B">
        <w:rPr>
          <w:rFonts w:ascii="Candara" w:hAnsi="Candara"/>
        </w:rPr>
        <w:t>33.6% of the facilities had matching reporting figures.</w:t>
      </w:r>
    </w:p>
    <w:p w14:paraId="79F858B0" w14:textId="77777777" w:rsidR="007653D0" w:rsidRPr="0016235B" w:rsidRDefault="007653D0" w:rsidP="005722F2">
      <w:pPr>
        <w:pStyle w:val="ListParagraph"/>
        <w:numPr>
          <w:ilvl w:val="0"/>
          <w:numId w:val="33"/>
        </w:numPr>
        <w:rPr>
          <w:rFonts w:ascii="Candara" w:hAnsi="Candara"/>
        </w:rPr>
      </w:pPr>
      <w:r w:rsidRPr="0016235B">
        <w:rPr>
          <w:rFonts w:ascii="Candara" w:hAnsi="Candara"/>
        </w:rPr>
        <w:t>46% of the facilities were over reporting while 20.3% were under reporting.</w:t>
      </w:r>
    </w:p>
    <w:p w14:paraId="476F5016" w14:textId="77777777" w:rsidR="007653D0" w:rsidRPr="0016235B" w:rsidRDefault="007653D0" w:rsidP="005722F2">
      <w:pPr>
        <w:pStyle w:val="ListParagraph"/>
        <w:numPr>
          <w:ilvl w:val="0"/>
          <w:numId w:val="33"/>
        </w:numPr>
        <w:rPr>
          <w:rFonts w:ascii="Candara" w:hAnsi="Candara"/>
        </w:rPr>
      </w:pPr>
      <w:r w:rsidRPr="0016235B">
        <w:rPr>
          <w:rFonts w:ascii="Candara" w:hAnsi="Candara"/>
        </w:rPr>
        <w:t>33.6% of the facilities were over reporting by over 10% and 9.7% under reporting by over 10%.</w:t>
      </w:r>
    </w:p>
    <w:p w14:paraId="14602CB1" w14:textId="77777777" w:rsidR="007653D0" w:rsidRPr="0016235B" w:rsidRDefault="007653D0" w:rsidP="007653D0">
      <w:pPr>
        <w:jc w:val="both"/>
        <w:rPr>
          <w:rFonts w:ascii="Candara" w:hAnsi="Candara"/>
          <w:b/>
          <w:bCs/>
          <w:sz w:val="24"/>
          <w:szCs w:val="24"/>
        </w:rPr>
      </w:pPr>
    </w:p>
    <w:p w14:paraId="489F4DD4" w14:textId="77777777" w:rsidR="007653D0" w:rsidRPr="0016235B" w:rsidRDefault="007653D0" w:rsidP="007653D0">
      <w:pPr>
        <w:jc w:val="both"/>
        <w:rPr>
          <w:rFonts w:ascii="Candara" w:hAnsi="Candara"/>
          <w:b/>
          <w:bCs/>
          <w:sz w:val="24"/>
          <w:szCs w:val="24"/>
        </w:rPr>
      </w:pPr>
    </w:p>
    <w:p w14:paraId="22799B74" w14:textId="77777777" w:rsidR="007653D0" w:rsidRPr="0016235B" w:rsidRDefault="007653D0" w:rsidP="007653D0">
      <w:pPr>
        <w:jc w:val="both"/>
        <w:rPr>
          <w:rFonts w:ascii="Candara" w:hAnsi="Candara"/>
          <w:b/>
          <w:bCs/>
          <w:sz w:val="24"/>
          <w:szCs w:val="24"/>
        </w:rPr>
      </w:pPr>
    </w:p>
    <w:p w14:paraId="2E4D7806" w14:textId="77777777" w:rsidR="007653D0" w:rsidRPr="0016235B" w:rsidRDefault="007653D0" w:rsidP="007653D0">
      <w:pPr>
        <w:jc w:val="both"/>
        <w:rPr>
          <w:rFonts w:ascii="Candara" w:hAnsi="Candara"/>
          <w:b/>
          <w:bCs/>
          <w:sz w:val="24"/>
          <w:szCs w:val="24"/>
        </w:rPr>
      </w:pPr>
    </w:p>
    <w:p w14:paraId="6D025193" w14:textId="77777777" w:rsidR="007653D0" w:rsidRPr="0016235B" w:rsidRDefault="007653D0" w:rsidP="00B8030E">
      <w:pPr>
        <w:pStyle w:val="Heading3"/>
        <w:rPr>
          <w:rFonts w:ascii="Candara" w:hAnsi="Candara"/>
          <w:b/>
        </w:rPr>
      </w:pPr>
      <w:bookmarkStart w:id="64" w:name="_Toc11494069"/>
      <w:r w:rsidRPr="0016235B">
        <w:rPr>
          <w:rFonts w:ascii="Candara" w:hAnsi="Candara"/>
          <w:b/>
        </w:rPr>
        <w:t>4.213 HIV indicators: ART coverage</w:t>
      </w:r>
      <w:bookmarkEnd w:id="64"/>
    </w:p>
    <w:p w14:paraId="0D00549D"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Figure xxx: Percentage of facilities reporting on ART services to national HMIS</w:t>
      </w:r>
    </w:p>
    <w:p w14:paraId="60BAC733" w14:textId="77777777" w:rsidR="007653D0" w:rsidRPr="0016235B" w:rsidRDefault="007653D0" w:rsidP="007653D0">
      <w:pPr>
        <w:jc w:val="both"/>
        <w:rPr>
          <w:rFonts w:ascii="Candara" w:hAnsi="Candara"/>
          <w:b/>
          <w:bCs/>
          <w:sz w:val="24"/>
          <w:szCs w:val="24"/>
        </w:rPr>
      </w:pPr>
      <w:r w:rsidRPr="0016235B">
        <w:rPr>
          <w:rFonts w:ascii="Candara" w:hAnsi="Candara"/>
          <w:noProof/>
          <w:sz w:val="24"/>
          <w:szCs w:val="24"/>
        </w:rPr>
        <w:drawing>
          <wp:inline distT="0" distB="0" distL="0" distR="0" wp14:anchorId="0C1A1FFB" wp14:editId="6149A57E">
            <wp:extent cx="5943600" cy="2660650"/>
            <wp:effectExtent l="0" t="0" r="0" b="6350"/>
            <wp:docPr id="30" name="Chart 30">
              <a:extLst xmlns:a="http://schemas.openxmlformats.org/drawingml/2006/main">
                <a:ext uri="{FF2B5EF4-FFF2-40B4-BE49-F238E27FC236}">
                  <a16:creationId xmlns:a16="http://schemas.microsoft.com/office/drawing/2014/main" id="{329B6B03-FEC4-4B3A-A5B7-87D131D3DE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7878EA42" w14:textId="23439775"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 xml:space="preserve">Overall 94% of all the facilities report on ART services to national HMIS. </w:t>
      </w:r>
      <w:r w:rsidR="00855812" w:rsidRPr="0016235B">
        <w:rPr>
          <w:rFonts w:ascii="Candara" w:hAnsi="Candara"/>
          <w:bCs/>
          <w:sz w:val="24"/>
          <w:szCs w:val="24"/>
        </w:rPr>
        <w:t>However,</w:t>
      </w:r>
      <w:r w:rsidRPr="0016235B">
        <w:rPr>
          <w:rFonts w:ascii="Candara" w:hAnsi="Candara"/>
          <w:bCs/>
          <w:sz w:val="24"/>
          <w:szCs w:val="24"/>
        </w:rPr>
        <w:t xml:space="preserve"> 19% of the general hospitals had not reported for 3 months prior to data collection.</w:t>
      </w:r>
    </w:p>
    <w:p w14:paraId="51BFD40C"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90% of the HCIIs providing ART services were reporting.</w:t>
      </w:r>
    </w:p>
    <w:p w14:paraId="4736A3C1"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16% of Private facilities were not reporting while 25% were from Kampala region</w:t>
      </w:r>
    </w:p>
    <w:p w14:paraId="16350353"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Rural health facilities had better reporting (98%) than Urban (89%).</w:t>
      </w:r>
    </w:p>
    <w:p w14:paraId="0ACD4353"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Figure xxx: Availability of ART source documents and reporting forms</w:t>
      </w:r>
    </w:p>
    <w:p w14:paraId="7F9C7528" w14:textId="77777777" w:rsidR="007653D0" w:rsidRPr="0016235B" w:rsidRDefault="007653D0" w:rsidP="007653D0">
      <w:pPr>
        <w:jc w:val="both"/>
        <w:rPr>
          <w:rFonts w:ascii="Candara" w:hAnsi="Candara"/>
          <w:sz w:val="24"/>
          <w:szCs w:val="24"/>
        </w:rPr>
      </w:pPr>
      <w:r w:rsidRPr="0016235B">
        <w:rPr>
          <w:rFonts w:ascii="Candara" w:hAnsi="Candara"/>
          <w:noProof/>
          <w:sz w:val="24"/>
          <w:szCs w:val="24"/>
        </w:rPr>
        <w:drawing>
          <wp:inline distT="0" distB="0" distL="0" distR="0" wp14:anchorId="615EAD49" wp14:editId="082AB38C">
            <wp:extent cx="5943600" cy="2400300"/>
            <wp:effectExtent l="0" t="0" r="0" b="0"/>
            <wp:docPr id="34" name="Chart 34">
              <a:extLst xmlns:a="http://schemas.openxmlformats.org/drawingml/2006/main">
                <a:ext uri="{FF2B5EF4-FFF2-40B4-BE49-F238E27FC236}">
                  <a16:creationId xmlns:a16="http://schemas.microsoft.com/office/drawing/2014/main" id="{BEB49F40-3CB6-4B59-9927-7CC7C7B823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30476D9A"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Generally, source and reporting documents were available in 89% of facilities irrespective of level, managing authority and location. However, 6% of general hospitals did not have source documents.</w:t>
      </w:r>
    </w:p>
    <w:p w14:paraId="5D890F1F" w14:textId="77777777" w:rsidR="00B8030E" w:rsidRPr="0016235B" w:rsidRDefault="00B8030E" w:rsidP="007653D0">
      <w:pPr>
        <w:spacing w:after="0" w:line="240" w:lineRule="auto"/>
        <w:rPr>
          <w:rFonts w:ascii="Candara" w:eastAsia="Times New Roman" w:hAnsi="Candara" w:cs="Calibri"/>
          <w:b/>
          <w:bCs/>
          <w:color w:val="000000"/>
          <w:sz w:val="28"/>
          <w:szCs w:val="28"/>
        </w:rPr>
      </w:pPr>
    </w:p>
    <w:p w14:paraId="3F448057" w14:textId="77777777" w:rsidR="007653D0" w:rsidRPr="0016235B" w:rsidRDefault="007653D0" w:rsidP="007653D0">
      <w:pPr>
        <w:spacing w:after="0" w:line="240" w:lineRule="auto"/>
        <w:rPr>
          <w:rFonts w:ascii="Candara" w:eastAsia="Times New Roman" w:hAnsi="Candara" w:cs="Calibri"/>
          <w:b/>
          <w:bCs/>
          <w:color w:val="000000"/>
          <w:sz w:val="28"/>
          <w:szCs w:val="28"/>
        </w:rPr>
      </w:pPr>
      <w:r w:rsidRPr="0016235B">
        <w:rPr>
          <w:rFonts w:ascii="Candara" w:eastAsia="Times New Roman" w:hAnsi="Candara" w:cs="Calibri"/>
          <w:b/>
          <w:bCs/>
          <w:color w:val="000000"/>
          <w:sz w:val="28"/>
          <w:szCs w:val="28"/>
        </w:rPr>
        <w:t>Verification factor (ratio) for ART by key stratifying variables</w:t>
      </w:r>
    </w:p>
    <w:tbl>
      <w:tblPr>
        <w:tblW w:w="9360" w:type="dxa"/>
        <w:tblLook w:val="04A0" w:firstRow="1" w:lastRow="0" w:firstColumn="1" w:lastColumn="0" w:noHBand="0" w:noVBand="1"/>
      </w:tblPr>
      <w:tblGrid>
        <w:gridCol w:w="2104"/>
        <w:gridCol w:w="981"/>
        <w:gridCol w:w="1277"/>
        <w:gridCol w:w="1091"/>
        <w:gridCol w:w="1091"/>
        <w:gridCol w:w="850"/>
        <w:gridCol w:w="1091"/>
        <w:gridCol w:w="1091"/>
      </w:tblGrid>
      <w:tr w:rsidR="007653D0" w:rsidRPr="0016235B" w14:paraId="5927CBEF" w14:textId="77777777" w:rsidTr="007653D0">
        <w:trPr>
          <w:trHeight w:val="1500"/>
        </w:trPr>
        <w:tc>
          <w:tcPr>
            <w:tcW w:w="2170" w:type="dxa"/>
            <w:tcBorders>
              <w:top w:val="nil"/>
              <w:left w:val="nil"/>
              <w:bottom w:val="nil"/>
              <w:right w:val="nil"/>
            </w:tcBorders>
            <w:shd w:val="clear" w:color="000000" w:fill="E7E6E6"/>
            <w:noWrap/>
            <w:vAlign w:val="bottom"/>
            <w:hideMark/>
          </w:tcPr>
          <w:p w14:paraId="41FC69D0"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Level</w:t>
            </w:r>
          </w:p>
        </w:tc>
        <w:tc>
          <w:tcPr>
            <w:tcW w:w="944" w:type="dxa"/>
            <w:tcBorders>
              <w:top w:val="nil"/>
              <w:left w:val="nil"/>
              <w:bottom w:val="nil"/>
              <w:right w:val="nil"/>
            </w:tcBorders>
            <w:shd w:val="clear" w:color="000000" w:fill="E7E6E6"/>
            <w:vAlign w:val="bottom"/>
            <w:hideMark/>
          </w:tcPr>
          <w:p w14:paraId="0B743319"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Number of facilities</w:t>
            </w:r>
          </w:p>
        </w:tc>
        <w:tc>
          <w:tcPr>
            <w:tcW w:w="1234" w:type="dxa"/>
            <w:tcBorders>
              <w:top w:val="nil"/>
              <w:left w:val="nil"/>
              <w:bottom w:val="nil"/>
              <w:right w:val="nil"/>
            </w:tcBorders>
            <w:shd w:val="clear" w:color="000000" w:fill="E7E6E6"/>
            <w:vAlign w:val="bottom"/>
            <w:hideMark/>
          </w:tcPr>
          <w:p w14:paraId="03D8F418"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Verification factor</w:t>
            </w:r>
          </w:p>
        </w:tc>
        <w:tc>
          <w:tcPr>
            <w:tcW w:w="1035" w:type="dxa"/>
            <w:tcBorders>
              <w:top w:val="nil"/>
              <w:left w:val="nil"/>
              <w:bottom w:val="nil"/>
              <w:right w:val="nil"/>
            </w:tcBorders>
            <w:shd w:val="clear" w:color="000000" w:fill="E7E6E6"/>
            <w:vAlign w:val="bottom"/>
            <w:hideMark/>
          </w:tcPr>
          <w:p w14:paraId="3518DE10"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&gt;10% over reporting</w:t>
            </w:r>
          </w:p>
        </w:tc>
        <w:tc>
          <w:tcPr>
            <w:tcW w:w="1035" w:type="dxa"/>
            <w:tcBorders>
              <w:top w:val="nil"/>
              <w:left w:val="nil"/>
              <w:bottom w:val="nil"/>
              <w:right w:val="nil"/>
            </w:tcBorders>
            <w:shd w:val="clear" w:color="000000" w:fill="E7E6E6"/>
            <w:vAlign w:val="bottom"/>
            <w:hideMark/>
          </w:tcPr>
          <w:p w14:paraId="160BDF23" w14:textId="57111133"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Up</w:t>
            </w:r>
            <w:r w:rsidR="00855812" w:rsidRPr="0016235B">
              <w:rPr>
                <w:rFonts w:ascii="Candara" w:eastAsia="Times New Roman" w:hAnsi="Candara" w:cs="Calibri"/>
                <w:b/>
                <w:bCs/>
                <w:color w:val="000000"/>
              </w:rPr>
              <w:t xml:space="preserve"> </w:t>
            </w:r>
            <w:r w:rsidRPr="0016235B">
              <w:rPr>
                <w:rFonts w:ascii="Candara" w:eastAsia="Times New Roman" w:hAnsi="Candara" w:cs="Calibri"/>
                <w:b/>
                <w:bCs/>
                <w:color w:val="000000"/>
              </w:rPr>
              <w:t>to 10% over reporting</w:t>
            </w:r>
          </w:p>
        </w:tc>
        <w:tc>
          <w:tcPr>
            <w:tcW w:w="872" w:type="dxa"/>
            <w:tcBorders>
              <w:top w:val="nil"/>
              <w:left w:val="nil"/>
              <w:bottom w:val="nil"/>
              <w:right w:val="nil"/>
            </w:tcBorders>
            <w:shd w:val="clear" w:color="000000" w:fill="E7E6E6"/>
            <w:vAlign w:val="bottom"/>
            <w:hideMark/>
          </w:tcPr>
          <w:p w14:paraId="607BF497"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Match</w:t>
            </w:r>
          </w:p>
        </w:tc>
        <w:tc>
          <w:tcPr>
            <w:tcW w:w="1035" w:type="dxa"/>
            <w:tcBorders>
              <w:top w:val="nil"/>
              <w:left w:val="nil"/>
              <w:bottom w:val="nil"/>
              <w:right w:val="nil"/>
            </w:tcBorders>
            <w:shd w:val="clear" w:color="000000" w:fill="E7E6E6"/>
            <w:vAlign w:val="bottom"/>
            <w:hideMark/>
          </w:tcPr>
          <w:p w14:paraId="0E632B83" w14:textId="44CDBB8D"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Up</w:t>
            </w:r>
            <w:r w:rsidR="00855812" w:rsidRPr="0016235B">
              <w:rPr>
                <w:rFonts w:ascii="Candara" w:eastAsia="Times New Roman" w:hAnsi="Candara" w:cs="Calibri"/>
                <w:b/>
                <w:bCs/>
                <w:color w:val="000000"/>
              </w:rPr>
              <w:t xml:space="preserve"> </w:t>
            </w:r>
            <w:r w:rsidRPr="0016235B">
              <w:rPr>
                <w:rFonts w:ascii="Candara" w:eastAsia="Times New Roman" w:hAnsi="Candara" w:cs="Calibri"/>
                <w:b/>
                <w:bCs/>
                <w:color w:val="000000"/>
              </w:rPr>
              <w:t>to 10% under reporting</w:t>
            </w:r>
          </w:p>
        </w:tc>
        <w:tc>
          <w:tcPr>
            <w:tcW w:w="1035" w:type="dxa"/>
            <w:tcBorders>
              <w:top w:val="nil"/>
              <w:left w:val="nil"/>
              <w:bottom w:val="nil"/>
              <w:right w:val="nil"/>
            </w:tcBorders>
            <w:shd w:val="clear" w:color="000000" w:fill="E7E6E6"/>
            <w:vAlign w:val="bottom"/>
            <w:hideMark/>
          </w:tcPr>
          <w:p w14:paraId="0D88EE39" w14:textId="77777777" w:rsidR="007653D0" w:rsidRPr="0016235B" w:rsidRDefault="007653D0" w:rsidP="007653D0">
            <w:pPr>
              <w:spacing w:after="0" w:line="240" w:lineRule="auto"/>
              <w:rPr>
                <w:rFonts w:ascii="Candara" w:eastAsia="Times New Roman" w:hAnsi="Candara" w:cs="Calibri"/>
                <w:b/>
                <w:bCs/>
                <w:color w:val="000000"/>
              </w:rPr>
            </w:pPr>
            <w:r w:rsidRPr="0016235B">
              <w:rPr>
                <w:rFonts w:ascii="Candara" w:eastAsia="Times New Roman" w:hAnsi="Candara" w:cs="Calibri"/>
                <w:b/>
                <w:bCs/>
                <w:color w:val="000000"/>
              </w:rPr>
              <w:t>&gt;10% under reporting</w:t>
            </w:r>
          </w:p>
        </w:tc>
      </w:tr>
      <w:tr w:rsidR="007653D0" w:rsidRPr="0016235B" w14:paraId="08EE6A55" w14:textId="77777777" w:rsidTr="007653D0">
        <w:trPr>
          <w:trHeight w:val="300"/>
        </w:trPr>
        <w:tc>
          <w:tcPr>
            <w:tcW w:w="2170" w:type="dxa"/>
            <w:tcBorders>
              <w:top w:val="nil"/>
              <w:left w:val="nil"/>
              <w:bottom w:val="nil"/>
              <w:right w:val="nil"/>
            </w:tcBorders>
            <w:shd w:val="clear" w:color="auto" w:fill="auto"/>
            <w:noWrap/>
            <w:vAlign w:val="bottom"/>
            <w:hideMark/>
          </w:tcPr>
          <w:p w14:paraId="66C777BF"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Regional Hospital</w:t>
            </w:r>
          </w:p>
        </w:tc>
        <w:tc>
          <w:tcPr>
            <w:tcW w:w="944" w:type="dxa"/>
            <w:tcBorders>
              <w:top w:val="nil"/>
              <w:left w:val="nil"/>
              <w:bottom w:val="nil"/>
              <w:right w:val="nil"/>
            </w:tcBorders>
            <w:shd w:val="clear" w:color="auto" w:fill="auto"/>
            <w:noWrap/>
            <w:vAlign w:val="bottom"/>
            <w:hideMark/>
          </w:tcPr>
          <w:p w14:paraId="0D49D81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234" w:type="dxa"/>
            <w:tcBorders>
              <w:top w:val="nil"/>
              <w:left w:val="nil"/>
              <w:bottom w:val="nil"/>
              <w:right w:val="nil"/>
            </w:tcBorders>
            <w:shd w:val="clear" w:color="auto" w:fill="auto"/>
            <w:noWrap/>
            <w:vAlign w:val="bottom"/>
            <w:hideMark/>
          </w:tcPr>
          <w:p w14:paraId="64F4C8C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1.01</w:t>
            </w:r>
          </w:p>
        </w:tc>
        <w:tc>
          <w:tcPr>
            <w:tcW w:w="1035" w:type="dxa"/>
            <w:tcBorders>
              <w:top w:val="nil"/>
              <w:left w:val="nil"/>
              <w:bottom w:val="nil"/>
              <w:right w:val="nil"/>
            </w:tcBorders>
            <w:shd w:val="clear" w:color="auto" w:fill="auto"/>
            <w:noWrap/>
            <w:vAlign w:val="bottom"/>
            <w:hideMark/>
          </w:tcPr>
          <w:p w14:paraId="1DC8020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035" w:type="dxa"/>
            <w:tcBorders>
              <w:top w:val="nil"/>
              <w:left w:val="nil"/>
              <w:bottom w:val="nil"/>
              <w:right w:val="nil"/>
            </w:tcBorders>
            <w:shd w:val="clear" w:color="auto" w:fill="auto"/>
            <w:noWrap/>
            <w:vAlign w:val="bottom"/>
            <w:hideMark/>
          </w:tcPr>
          <w:p w14:paraId="1D0321D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872" w:type="dxa"/>
            <w:tcBorders>
              <w:top w:val="nil"/>
              <w:left w:val="nil"/>
              <w:bottom w:val="nil"/>
              <w:right w:val="nil"/>
            </w:tcBorders>
            <w:shd w:val="clear" w:color="auto" w:fill="auto"/>
            <w:noWrap/>
            <w:vAlign w:val="bottom"/>
            <w:hideMark/>
          </w:tcPr>
          <w:p w14:paraId="1C36C1C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1035" w:type="dxa"/>
            <w:tcBorders>
              <w:top w:val="nil"/>
              <w:left w:val="nil"/>
              <w:bottom w:val="nil"/>
              <w:right w:val="nil"/>
            </w:tcBorders>
            <w:shd w:val="clear" w:color="auto" w:fill="auto"/>
            <w:noWrap/>
            <w:vAlign w:val="bottom"/>
            <w:hideMark/>
          </w:tcPr>
          <w:p w14:paraId="7BB596E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035" w:type="dxa"/>
            <w:tcBorders>
              <w:top w:val="nil"/>
              <w:left w:val="nil"/>
              <w:bottom w:val="nil"/>
              <w:right w:val="nil"/>
            </w:tcBorders>
            <w:shd w:val="clear" w:color="auto" w:fill="auto"/>
            <w:noWrap/>
            <w:vAlign w:val="bottom"/>
            <w:hideMark/>
          </w:tcPr>
          <w:p w14:paraId="006A4BE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r>
      <w:tr w:rsidR="007653D0" w:rsidRPr="0016235B" w14:paraId="04B49C43" w14:textId="77777777" w:rsidTr="007653D0">
        <w:trPr>
          <w:trHeight w:val="300"/>
        </w:trPr>
        <w:tc>
          <w:tcPr>
            <w:tcW w:w="2170" w:type="dxa"/>
            <w:tcBorders>
              <w:top w:val="nil"/>
              <w:left w:val="nil"/>
              <w:bottom w:val="nil"/>
              <w:right w:val="nil"/>
            </w:tcBorders>
            <w:shd w:val="clear" w:color="auto" w:fill="auto"/>
            <w:noWrap/>
            <w:vAlign w:val="bottom"/>
            <w:hideMark/>
          </w:tcPr>
          <w:p w14:paraId="3D72061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General Hospital</w:t>
            </w:r>
          </w:p>
        </w:tc>
        <w:tc>
          <w:tcPr>
            <w:tcW w:w="944" w:type="dxa"/>
            <w:tcBorders>
              <w:top w:val="nil"/>
              <w:left w:val="nil"/>
              <w:bottom w:val="nil"/>
              <w:right w:val="nil"/>
            </w:tcBorders>
            <w:shd w:val="clear" w:color="auto" w:fill="auto"/>
            <w:noWrap/>
            <w:vAlign w:val="bottom"/>
            <w:hideMark/>
          </w:tcPr>
          <w:p w14:paraId="5A5F683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w:t>
            </w:r>
          </w:p>
        </w:tc>
        <w:tc>
          <w:tcPr>
            <w:tcW w:w="1234" w:type="dxa"/>
            <w:tcBorders>
              <w:top w:val="nil"/>
              <w:left w:val="nil"/>
              <w:bottom w:val="nil"/>
              <w:right w:val="nil"/>
            </w:tcBorders>
            <w:shd w:val="clear" w:color="auto" w:fill="auto"/>
            <w:noWrap/>
            <w:vAlign w:val="bottom"/>
            <w:hideMark/>
          </w:tcPr>
          <w:p w14:paraId="192E0AC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0.90</w:t>
            </w:r>
          </w:p>
        </w:tc>
        <w:tc>
          <w:tcPr>
            <w:tcW w:w="1035" w:type="dxa"/>
            <w:tcBorders>
              <w:top w:val="nil"/>
              <w:left w:val="nil"/>
              <w:bottom w:val="nil"/>
              <w:right w:val="nil"/>
            </w:tcBorders>
            <w:shd w:val="clear" w:color="auto" w:fill="auto"/>
            <w:noWrap/>
            <w:vAlign w:val="bottom"/>
            <w:hideMark/>
          </w:tcPr>
          <w:p w14:paraId="165F62D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30.8</w:t>
            </w:r>
          </w:p>
        </w:tc>
        <w:tc>
          <w:tcPr>
            <w:tcW w:w="1035" w:type="dxa"/>
            <w:tcBorders>
              <w:top w:val="nil"/>
              <w:left w:val="nil"/>
              <w:bottom w:val="nil"/>
              <w:right w:val="nil"/>
            </w:tcBorders>
            <w:shd w:val="clear" w:color="auto" w:fill="auto"/>
            <w:noWrap/>
            <w:vAlign w:val="bottom"/>
            <w:hideMark/>
          </w:tcPr>
          <w:p w14:paraId="6460561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7.7</w:t>
            </w:r>
          </w:p>
        </w:tc>
        <w:tc>
          <w:tcPr>
            <w:tcW w:w="872" w:type="dxa"/>
            <w:tcBorders>
              <w:top w:val="nil"/>
              <w:left w:val="nil"/>
              <w:bottom w:val="nil"/>
              <w:right w:val="nil"/>
            </w:tcBorders>
            <w:shd w:val="clear" w:color="auto" w:fill="auto"/>
            <w:noWrap/>
            <w:vAlign w:val="bottom"/>
            <w:hideMark/>
          </w:tcPr>
          <w:p w14:paraId="5ED42EE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23.1</w:t>
            </w:r>
          </w:p>
        </w:tc>
        <w:tc>
          <w:tcPr>
            <w:tcW w:w="1035" w:type="dxa"/>
            <w:tcBorders>
              <w:top w:val="nil"/>
              <w:left w:val="nil"/>
              <w:bottom w:val="nil"/>
              <w:right w:val="nil"/>
            </w:tcBorders>
            <w:shd w:val="clear" w:color="auto" w:fill="auto"/>
            <w:noWrap/>
            <w:vAlign w:val="bottom"/>
            <w:hideMark/>
          </w:tcPr>
          <w:p w14:paraId="0D17959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23.1</w:t>
            </w:r>
          </w:p>
        </w:tc>
        <w:tc>
          <w:tcPr>
            <w:tcW w:w="1035" w:type="dxa"/>
            <w:tcBorders>
              <w:top w:val="nil"/>
              <w:left w:val="nil"/>
              <w:bottom w:val="nil"/>
              <w:right w:val="nil"/>
            </w:tcBorders>
            <w:shd w:val="clear" w:color="auto" w:fill="auto"/>
            <w:noWrap/>
            <w:vAlign w:val="bottom"/>
            <w:hideMark/>
          </w:tcPr>
          <w:p w14:paraId="5CD223C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15.4</w:t>
            </w:r>
          </w:p>
        </w:tc>
      </w:tr>
      <w:tr w:rsidR="007653D0" w:rsidRPr="0016235B" w14:paraId="0ADF234D" w14:textId="77777777" w:rsidTr="007653D0">
        <w:trPr>
          <w:trHeight w:val="300"/>
        </w:trPr>
        <w:tc>
          <w:tcPr>
            <w:tcW w:w="2170" w:type="dxa"/>
            <w:tcBorders>
              <w:top w:val="nil"/>
              <w:left w:val="nil"/>
              <w:bottom w:val="nil"/>
              <w:right w:val="nil"/>
            </w:tcBorders>
            <w:shd w:val="clear" w:color="auto" w:fill="auto"/>
            <w:noWrap/>
            <w:vAlign w:val="bottom"/>
            <w:hideMark/>
          </w:tcPr>
          <w:p w14:paraId="1FDB649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IV</w:t>
            </w:r>
          </w:p>
        </w:tc>
        <w:tc>
          <w:tcPr>
            <w:tcW w:w="944" w:type="dxa"/>
            <w:tcBorders>
              <w:top w:val="nil"/>
              <w:left w:val="nil"/>
              <w:bottom w:val="nil"/>
              <w:right w:val="nil"/>
            </w:tcBorders>
            <w:shd w:val="clear" w:color="auto" w:fill="auto"/>
            <w:noWrap/>
            <w:vAlign w:val="bottom"/>
            <w:hideMark/>
          </w:tcPr>
          <w:p w14:paraId="3EAE11A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w:t>
            </w:r>
          </w:p>
        </w:tc>
        <w:tc>
          <w:tcPr>
            <w:tcW w:w="1234" w:type="dxa"/>
            <w:tcBorders>
              <w:top w:val="nil"/>
              <w:left w:val="nil"/>
              <w:bottom w:val="nil"/>
              <w:right w:val="nil"/>
            </w:tcBorders>
            <w:shd w:val="clear" w:color="auto" w:fill="auto"/>
            <w:noWrap/>
            <w:vAlign w:val="bottom"/>
            <w:hideMark/>
          </w:tcPr>
          <w:p w14:paraId="36E7FAA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0.98</w:t>
            </w:r>
          </w:p>
        </w:tc>
        <w:tc>
          <w:tcPr>
            <w:tcW w:w="1035" w:type="dxa"/>
            <w:tcBorders>
              <w:top w:val="nil"/>
              <w:left w:val="nil"/>
              <w:bottom w:val="nil"/>
              <w:right w:val="nil"/>
            </w:tcBorders>
            <w:shd w:val="clear" w:color="auto" w:fill="auto"/>
            <w:noWrap/>
            <w:vAlign w:val="bottom"/>
            <w:hideMark/>
          </w:tcPr>
          <w:p w14:paraId="7C86A67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19.1</w:t>
            </w:r>
          </w:p>
        </w:tc>
        <w:tc>
          <w:tcPr>
            <w:tcW w:w="1035" w:type="dxa"/>
            <w:tcBorders>
              <w:top w:val="nil"/>
              <w:left w:val="nil"/>
              <w:bottom w:val="nil"/>
              <w:right w:val="nil"/>
            </w:tcBorders>
            <w:shd w:val="clear" w:color="auto" w:fill="auto"/>
            <w:noWrap/>
            <w:vAlign w:val="bottom"/>
            <w:hideMark/>
          </w:tcPr>
          <w:p w14:paraId="54ADE57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19.1</w:t>
            </w:r>
          </w:p>
        </w:tc>
        <w:tc>
          <w:tcPr>
            <w:tcW w:w="872" w:type="dxa"/>
            <w:tcBorders>
              <w:top w:val="nil"/>
              <w:left w:val="nil"/>
              <w:bottom w:val="nil"/>
              <w:right w:val="nil"/>
            </w:tcBorders>
            <w:shd w:val="clear" w:color="auto" w:fill="auto"/>
            <w:noWrap/>
            <w:vAlign w:val="bottom"/>
            <w:hideMark/>
          </w:tcPr>
          <w:p w14:paraId="2E4A1C1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28.6</w:t>
            </w:r>
          </w:p>
        </w:tc>
        <w:tc>
          <w:tcPr>
            <w:tcW w:w="1035" w:type="dxa"/>
            <w:tcBorders>
              <w:top w:val="nil"/>
              <w:left w:val="nil"/>
              <w:bottom w:val="nil"/>
              <w:right w:val="nil"/>
            </w:tcBorders>
            <w:shd w:val="clear" w:color="auto" w:fill="auto"/>
            <w:noWrap/>
            <w:vAlign w:val="bottom"/>
            <w:hideMark/>
          </w:tcPr>
          <w:p w14:paraId="6C2582B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35" w:type="dxa"/>
            <w:tcBorders>
              <w:top w:val="nil"/>
              <w:left w:val="nil"/>
              <w:bottom w:val="nil"/>
              <w:right w:val="nil"/>
            </w:tcBorders>
            <w:shd w:val="clear" w:color="auto" w:fill="auto"/>
            <w:noWrap/>
            <w:vAlign w:val="bottom"/>
            <w:hideMark/>
          </w:tcPr>
          <w:p w14:paraId="76147BD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19.1</w:t>
            </w:r>
          </w:p>
        </w:tc>
      </w:tr>
      <w:tr w:rsidR="007653D0" w:rsidRPr="0016235B" w14:paraId="641FDB47" w14:textId="77777777" w:rsidTr="007653D0">
        <w:trPr>
          <w:trHeight w:val="300"/>
        </w:trPr>
        <w:tc>
          <w:tcPr>
            <w:tcW w:w="2170" w:type="dxa"/>
            <w:tcBorders>
              <w:top w:val="nil"/>
              <w:left w:val="nil"/>
              <w:bottom w:val="nil"/>
              <w:right w:val="nil"/>
            </w:tcBorders>
            <w:shd w:val="clear" w:color="auto" w:fill="auto"/>
            <w:noWrap/>
            <w:vAlign w:val="bottom"/>
            <w:hideMark/>
          </w:tcPr>
          <w:p w14:paraId="2D59E5C4"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III</w:t>
            </w:r>
          </w:p>
        </w:tc>
        <w:tc>
          <w:tcPr>
            <w:tcW w:w="944" w:type="dxa"/>
            <w:tcBorders>
              <w:top w:val="nil"/>
              <w:left w:val="nil"/>
              <w:bottom w:val="nil"/>
              <w:right w:val="nil"/>
            </w:tcBorders>
            <w:shd w:val="clear" w:color="auto" w:fill="auto"/>
            <w:noWrap/>
            <w:vAlign w:val="bottom"/>
            <w:hideMark/>
          </w:tcPr>
          <w:p w14:paraId="6CD04AC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w:t>
            </w:r>
          </w:p>
        </w:tc>
        <w:tc>
          <w:tcPr>
            <w:tcW w:w="1234" w:type="dxa"/>
            <w:tcBorders>
              <w:top w:val="nil"/>
              <w:left w:val="nil"/>
              <w:bottom w:val="nil"/>
              <w:right w:val="nil"/>
            </w:tcBorders>
            <w:shd w:val="clear" w:color="auto" w:fill="auto"/>
            <w:noWrap/>
            <w:vAlign w:val="bottom"/>
            <w:hideMark/>
          </w:tcPr>
          <w:p w14:paraId="0DD24F9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1.16</w:t>
            </w:r>
          </w:p>
        </w:tc>
        <w:tc>
          <w:tcPr>
            <w:tcW w:w="1035" w:type="dxa"/>
            <w:tcBorders>
              <w:top w:val="nil"/>
              <w:left w:val="nil"/>
              <w:bottom w:val="nil"/>
              <w:right w:val="nil"/>
            </w:tcBorders>
            <w:shd w:val="clear" w:color="auto" w:fill="auto"/>
            <w:noWrap/>
            <w:vAlign w:val="bottom"/>
            <w:hideMark/>
          </w:tcPr>
          <w:p w14:paraId="5844722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32.0</w:t>
            </w:r>
          </w:p>
        </w:tc>
        <w:tc>
          <w:tcPr>
            <w:tcW w:w="1035" w:type="dxa"/>
            <w:tcBorders>
              <w:top w:val="nil"/>
              <w:left w:val="nil"/>
              <w:bottom w:val="nil"/>
              <w:right w:val="nil"/>
            </w:tcBorders>
            <w:shd w:val="clear" w:color="auto" w:fill="auto"/>
            <w:noWrap/>
            <w:vAlign w:val="bottom"/>
            <w:hideMark/>
          </w:tcPr>
          <w:p w14:paraId="54DD212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w:t>
            </w:r>
          </w:p>
        </w:tc>
        <w:tc>
          <w:tcPr>
            <w:tcW w:w="872" w:type="dxa"/>
            <w:tcBorders>
              <w:top w:val="nil"/>
              <w:left w:val="nil"/>
              <w:bottom w:val="nil"/>
              <w:right w:val="nil"/>
            </w:tcBorders>
            <w:shd w:val="clear" w:color="auto" w:fill="auto"/>
            <w:noWrap/>
            <w:vAlign w:val="bottom"/>
            <w:hideMark/>
          </w:tcPr>
          <w:p w14:paraId="424CE7B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32.0</w:t>
            </w:r>
          </w:p>
        </w:tc>
        <w:tc>
          <w:tcPr>
            <w:tcW w:w="1035" w:type="dxa"/>
            <w:tcBorders>
              <w:top w:val="nil"/>
              <w:left w:val="nil"/>
              <w:bottom w:val="nil"/>
              <w:right w:val="nil"/>
            </w:tcBorders>
            <w:shd w:val="clear" w:color="auto" w:fill="auto"/>
            <w:noWrap/>
            <w:vAlign w:val="bottom"/>
            <w:hideMark/>
          </w:tcPr>
          <w:p w14:paraId="1B61896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8.0</w:t>
            </w:r>
          </w:p>
        </w:tc>
        <w:tc>
          <w:tcPr>
            <w:tcW w:w="1035" w:type="dxa"/>
            <w:tcBorders>
              <w:top w:val="nil"/>
              <w:left w:val="nil"/>
              <w:bottom w:val="nil"/>
              <w:right w:val="nil"/>
            </w:tcBorders>
            <w:shd w:val="clear" w:color="auto" w:fill="auto"/>
            <w:noWrap/>
            <w:vAlign w:val="bottom"/>
            <w:hideMark/>
          </w:tcPr>
          <w:p w14:paraId="07E12A4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24.0</w:t>
            </w:r>
          </w:p>
        </w:tc>
      </w:tr>
      <w:tr w:rsidR="007653D0" w:rsidRPr="0016235B" w14:paraId="6B15151C" w14:textId="77777777" w:rsidTr="007653D0">
        <w:trPr>
          <w:trHeight w:val="300"/>
        </w:trPr>
        <w:tc>
          <w:tcPr>
            <w:tcW w:w="2170" w:type="dxa"/>
            <w:tcBorders>
              <w:top w:val="nil"/>
              <w:left w:val="nil"/>
              <w:bottom w:val="nil"/>
              <w:right w:val="nil"/>
            </w:tcBorders>
            <w:shd w:val="clear" w:color="auto" w:fill="auto"/>
            <w:noWrap/>
            <w:vAlign w:val="bottom"/>
            <w:hideMark/>
          </w:tcPr>
          <w:p w14:paraId="352C2BCE"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w:t>
            </w:r>
          </w:p>
        </w:tc>
        <w:tc>
          <w:tcPr>
            <w:tcW w:w="944" w:type="dxa"/>
            <w:tcBorders>
              <w:top w:val="nil"/>
              <w:left w:val="nil"/>
              <w:bottom w:val="nil"/>
              <w:right w:val="nil"/>
            </w:tcBorders>
            <w:shd w:val="clear" w:color="auto" w:fill="auto"/>
            <w:noWrap/>
            <w:vAlign w:val="bottom"/>
            <w:hideMark/>
          </w:tcPr>
          <w:p w14:paraId="7A993EB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w:t>
            </w:r>
          </w:p>
        </w:tc>
        <w:tc>
          <w:tcPr>
            <w:tcW w:w="1234" w:type="dxa"/>
            <w:tcBorders>
              <w:top w:val="nil"/>
              <w:left w:val="nil"/>
              <w:bottom w:val="nil"/>
              <w:right w:val="nil"/>
            </w:tcBorders>
            <w:shd w:val="clear" w:color="auto" w:fill="auto"/>
            <w:noWrap/>
            <w:vAlign w:val="bottom"/>
            <w:hideMark/>
          </w:tcPr>
          <w:p w14:paraId="6408249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0.72</w:t>
            </w:r>
          </w:p>
        </w:tc>
        <w:tc>
          <w:tcPr>
            <w:tcW w:w="1035" w:type="dxa"/>
            <w:tcBorders>
              <w:top w:val="nil"/>
              <w:left w:val="nil"/>
              <w:bottom w:val="nil"/>
              <w:right w:val="nil"/>
            </w:tcBorders>
            <w:shd w:val="clear" w:color="auto" w:fill="auto"/>
            <w:noWrap/>
            <w:vAlign w:val="bottom"/>
            <w:hideMark/>
          </w:tcPr>
          <w:p w14:paraId="27705F3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57.1</w:t>
            </w:r>
          </w:p>
        </w:tc>
        <w:tc>
          <w:tcPr>
            <w:tcW w:w="1035" w:type="dxa"/>
            <w:tcBorders>
              <w:top w:val="nil"/>
              <w:left w:val="nil"/>
              <w:bottom w:val="nil"/>
              <w:right w:val="nil"/>
            </w:tcBorders>
            <w:shd w:val="clear" w:color="auto" w:fill="auto"/>
            <w:noWrap/>
            <w:vAlign w:val="bottom"/>
            <w:hideMark/>
          </w:tcPr>
          <w:p w14:paraId="1D00A65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72" w:type="dxa"/>
            <w:tcBorders>
              <w:top w:val="nil"/>
              <w:left w:val="nil"/>
              <w:bottom w:val="nil"/>
              <w:right w:val="nil"/>
            </w:tcBorders>
            <w:shd w:val="clear" w:color="auto" w:fill="auto"/>
            <w:noWrap/>
            <w:vAlign w:val="bottom"/>
            <w:hideMark/>
          </w:tcPr>
          <w:p w14:paraId="3CF9C1F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35" w:type="dxa"/>
            <w:tcBorders>
              <w:top w:val="nil"/>
              <w:left w:val="nil"/>
              <w:bottom w:val="nil"/>
              <w:right w:val="nil"/>
            </w:tcBorders>
            <w:shd w:val="clear" w:color="auto" w:fill="auto"/>
            <w:noWrap/>
            <w:vAlign w:val="bottom"/>
            <w:hideMark/>
          </w:tcPr>
          <w:p w14:paraId="5492748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35" w:type="dxa"/>
            <w:tcBorders>
              <w:top w:val="nil"/>
              <w:left w:val="nil"/>
              <w:bottom w:val="nil"/>
              <w:right w:val="nil"/>
            </w:tcBorders>
            <w:shd w:val="clear" w:color="auto" w:fill="auto"/>
            <w:noWrap/>
            <w:vAlign w:val="bottom"/>
            <w:hideMark/>
          </w:tcPr>
          <w:p w14:paraId="118D0C1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r>
      <w:tr w:rsidR="007653D0" w:rsidRPr="0016235B" w14:paraId="29DBE8C9" w14:textId="77777777" w:rsidTr="007653D0">
        <w:trPr>
          <w:trHeight w:val="300"/>
        </w:trPr>
        <w:tc>
          <w:tcPr>
            <w:tcW w:w="2170" w:type="dxa"/>
            <w:tcBorders>
              <w:top w:val="nil"/>
              <w:left w:val="nil"/>
              <w:bottom w:val="nil"/>
              <w:right w:val="nil"/>
            </w:tcBorders>
            <w:shd w:val="clear" w:color="000000" w:fill="E7E6E6"/>
            <w:noWrap/>
            <w:vAlign w:val="bottom"/>
            <w:hideMark/>
          </w:tcPr>
          <w:p w14:paraId="22D7B5B4"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Managing Authority</w:t>
            </w:r>
          </w:p>
        </w:tc>
        <w:tc>
          <w:tcPr>
            <w:tcW w:w="944" w:type="dxa"/>
            <w:tcBorders>
              <w:top w:val="nil"/>
              <w:left w:val="nil"/>
              <w:bottom w:val="nil"/>
              <w:right w:val="nil"/>
            </w:tcBorders>
            <w:shd w:val="clear" w:color="000000" w:fill="E7E6E6"/>
            <w:noWrap/>
            <w:vAlign w:val="bottom"/>
            <w:hideMark/>
          </w:tcPr>
          <w:p w14:paraId="48628ED6"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234" w:type="dxa"/>
            <w:tcBorders>
              <w:top w:val="nil"/>
              <w:left w:val="nil"/>
              <w:bottom w:val="nil"/>
              <w:right w:val="nil"/>
            </w:tcBorders>
            <w:shd w:val="clear" w:color="000000" w:fill="E7E6E6"/>
            <w:noWrap/>
            <w:vAlign w:val="bottom"/>
            <w:hideMark/>
          </w:tcPr>
          <w:p w14:paraId="080E766C"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35" w:type="dxa"/>
            <w:tcBorders>
              <w:top w:val="nil"/>
              <w:left w:val="nil"/>
              <w:bottom w:val="nil"/>
              <w:right w:val="nil"/>
            </w:tcBorders>
            <w:shd w:val="clear" w:color="000000" w:fill="E7E6E6"/>
            <w:noWrap/>
            <w:vAlign w:val="bottom"/>
            <w:hideMark/>
          </w:tcPr>
          <w:p w14:paraId="2DE1B612"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4712AA2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872" w:type="dxa"/>
            <w:tcBorders>
              <w:top w:val="nil"/>
              <w:left w:val="nil"/>
              <w:bottom w:val="nil"/>
              <w:right w:val="nil"/>
            </w:tcBorders>
            <w:shd w:val="clear" w:color="000000" w:fill="E7E6E6"/>
            <w:noWrap/>
            <w:vAlign w:val="bottom"/>
            <w:hideMark/>
          </w:tcPr>
          <w:p w14:paraId="32167D4D"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23D1B25D"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3EB466E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5377FCBA" w14:textId="77777777" w:rsidTr="007653D0">
        <w:trPr>
          <w:trHeight w:val="300"/>
        </w:trPr>
        <w:tc>
          <w:tcPr>
            <w:tcW w:w="2170" w:type="dxa"/>
            <w:tcBorders>
              <w:top w:val="nil"/>
              <w:left w:val="nil"/>
              <w:bottom w:val="nil"/>
              <w:right w:val="nil"/>
            </w:tcBorders>
            <w:shd w:val="clear" w:color="auto" w:fill="auto"/>
            <w:noWrap/>
            <w:vAlign w:val="bottom"/>
            <w:hideMark/>
          </w:tcPr>
          <w:p w14:paraId="747E2415"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Public/G</w:t>
            </w:r>
          </w:p>
        </w:tc>
        <w:tc>
          <w:tcPr>
            <w:tcW w:w="944" w:type="dxa"/>
            <w:tcBorders>
              <w:top w:val="nil"/>
              <w:left w:val="nil"/>
              <w:bottom w:val="nil"/>
              <w:right w:val="nil"/>
            </w:tcBorders>
            <w:shd w:val="clear" w:color="auto" w:fill="auto"/>
            <w:noWrap/>
            <w:vAlign w:val="bottom"/>
            <w:hideMark/>
          </w:tcPr>
          <w:p w14:paraId="263B3B4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59</w:t>
            </w:r>
          </w:p>
        </w:tc>
        <w:tc>
          <w:tcPr>
            <w:tcW w:w="1234" w:type="dxa"/>
            <w:tcBorders>
              <w:top w:val="nil"/>
              <w:left w:val="nil"/>
              <w:bottom w:val="nil"/>
              <w:right w:val="nil"/>
            </w:tcBorders>
            <w:shd w:val="clear" w:color="auto" w:fill="auto"/>
            <w:noWrap/>
            <w:vAlign w:val="bottom"/>
            <w:hideMark/>
          </w:tcPr>
          <w:p w14:paraId="495D0FB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1.05</w:t>
            </w:r>
          </w:p>
        </w:tc>
        <w:tc>
          <w:tcPr>
            <w:tcW w:w="1035" w:type="dxa"/>
            <w:tcBorders>
              <w:top w:val="nil"/>
              <w:left w:val="nil"/>
              <w:bottom w:val="nil"/>
              <w:right w:val="nil"/>
            </w:tcBorders>
            <w:shd w:val="clear" w:color="auto" w:fill="auto"/>
            <w:noWrap/>
            <w:vAlign w:val="bottom"/>
            <w:hideMark/>
          </w:tcPr>
          <w:p w14:paraId="1231D1C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25.4</w:t>
            </w:r>
          </w:p>
        </w:tc>
        <w:tc>
          <w:tcPr>
            <w:tcW w:w="1035" w:type="dxa"/>
            <w:tcBorders>
              <w:top w:val="nil"/>
              <w:left w:val="nil"/>
              <w:bottom w:val="nil"/>
              <w:right w:val="nil"/>
            </w:tcBorders>
            <w:shd w:val="clear" w:color="auto" w:fill="auto"/>
            <w:noWrap/>
            <w:vAlign w:val="bottom"/>
            <w:hideMark/>
          </w:tcPr>
          <w:p w14:paraId="1C498C6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10.2</w:t>
            </w:r>
          </w:p>
        </w:tc>
        <w:tc>
          <w:tcPr>
            <w:tcW w:w="872" w:type="dxa"/>
            <w:tcBorders>
              <w:top w:val="nil"/>
              <w:left w:val="nil"/>
              <w:bottom w:val="nil"/>
              <w:right w:val="nil"/>
            </w:tcBorders>
            <w:shd w:val="clear" w:color="auto" w:fill="auto"/>
            <w:noWrap/>
            <w:vAlign w:val="bottom"/>
            <w:hideMark/>
          </w:tcPr>
          <w:p w14:paraId="4C9BD50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30.5</w:t>
            </w:r>
          </w:p>
        </w:tc>
        <w:tc>
          <w:tcPr>
            <w:tcW w:w="1035" w:type="dxa"/>
            <w:tcBorders>
              <w:top w:val="nil"/>
              <w:left w:val="nil"/>
              <w:bottom w:val="nil"/>
              <w:right w:val="nil"/>
            </w:tcBorders>
            <w:shd w:val="clear" w:color="auto" w:fill="auto"/>
            <w:noWrap/>
            <w:vAlign w:val="bottom"/>
            <w:hideMark/>
          </w:tcPr>
          <w:p w14:paraId="1147912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13.6</w:t>
            </w:r>
          </w:p>
        </w:tc>
        <w:tc>
          <w:tcPr>
            <w:tcW w:w="1035" w:type="dxa"/>
            <w:tcBorders>
              <w:top w:val="nil"/>
              <w:left w:val="nil"/>
              <w:bottom w:val="nil"/>
              <w:right w:val="nil"/>
            </w:tcBorders>
            <w:shd w:val="clear" w:color="auto" w:fill="auto"/>
            <w:noWrap/>
            <w:vAlign w:val="bottom"/>
            <w:hideMark/>
          </w:tcPr>
          <w:p w14:paraId="019886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20.3</w:t>
            </w:r>
          </w:p>
        </w:tc>
      </w:tr>
      <w:tr w:rsidR="007653D0" w:rsidRPr="0016235B" w14:paraId="29640006" w14:textId="77777777" w:rsidTr="007653D0">
        <w:trPr>
          <w:trHeight w:val="300"/>
        </w:trPr>
        <w:tc>
          <w:tcPr>
            <w:tcW w:w="2170" w:type="dxa"/>
            <w:tcBorders>
              <w:top w:val="nil"/>
              <w:left w:val="nil"/>
              <w:bottom w:val="nil"/>
              <w:right w:val="nil"/>
            </w:tcBorders>
            <w:shd w:val="clear" w:color="auto" w:fill="auto"/>
            <w:noWrap/>
            <w:vAlign w:val="bottom"/>
            <w:hideMark/>
          </w:tcPr>
          <w:p w14:paraId="3D27436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Private</w:t>
            </w:r>
          </w:p>
        </w:tc>
        <w:tc>
          <w:tcPr>
            <w:tcW w:w="944" w:type="dxa"/>
            <w:tcBorders>
              <w:top w:val="nil"/>
              <w:left w:val="nil"/>
              <w:bottom w:val="nil"/>
              <w:right w:val="nil"/>
            </w:tcBorders>
            <w:shd w:val="clear" w:color="auto" w:fill="auto"/>
            <w:noWrap/>
            <w:vAlign w:val="bottom"/>
            <w:hideMark/>
          </w:tcPr>
          <w:p w14:paraId="26510DC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w:t>
            </w:r>
          </w:p>
        </w:tc>
        <w:tc>
          <w:tcPr>
            <w:tcW w:w="1234" w:type="dxa"/>
            <w:tcBorders>
              <w:top w:val="nil"/>
              <w:left w:val="nil"/>
              <w:bottom w:val="nil"/>
              <w:right w:val="nil"/>
            </w:tcBorders>
            <w:shd w:val="clear" w:color="auto" w:fill="auto"/>
            <w:noWrap/>
            <w:vAlign w:val="bottom"/>
            <w:hideMark/>
          </w:tcPr>
          <w:p w14:paraId="0E8A327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0.85</w:t>
            </w:r>
          </w:p>
        </w:tc>
        <w:tc>
          <w:tcPr>
            <w:tcW w:w="1035" w:type="dxa"/>
            <w:tcBorders>
              <w:top w:val="nil"/>
              <w:left w:val="nil"/>
              <w:bottom w:val="nil"/>
              <w:right w:val="nil"/>
            </w:tcBorders>
            <w:shd w:val="clear" w:color="auto" w:fill="auto"/>
            <w:noWrap/>
            <w:vAlign w:val="bottom"/>
            <w:hideMark/>
          </w:tcPr>
          <w:p w14:paraId="66BF727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40.0</w:t>
            </w:r>
          </w:p>
        </w:tc>
        <w:tc>
          <w:tcPr>
            <w:tcW w:w="1035" w:type="dxa"/>
            <w:tcBorders>
              <w:top w:val="nil"/>
              <w:left w:val="nil"/>
              <w:bottom w:val="nil"/>
              <w:right w:val="nil"/>
            </w:tcBorders>
            <w:shd w:val="clear" w:color="auto" w:fill="auto"/>
            <w:noWrap/>
            <w:vAlign w:val="bottom"/>
            <w:hideMark/>
          </w:tcPr>
          <w:p w14:paraId="5996707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6.7</w:t>
            </w:r>
          </w:p>
        </w:tc>
        <w:tc>
          <w:tcPr>
            <w:tcW w:w="872" w:type="dxa"/>
            <w:tcBorders>
              <w:top w:val="nil"/>
              <w:left w:val="nil"/>
              <w:bottom w:val="nil"/>
              <w:right w:val="nil"/>
            </w:tcBorders>
            <w:shd w:val="clear" w:color="auto" w:fill="auto"/>
            <w:noWrap/>
            <w:vAlign w:val="bottom"/>
            <w:hideMark/>
          </w:tcPr>
          <w:p w14:paraId="7B65FC3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1035" w:type="dxa"/>
            <w:tcBorders>
              <w:top w:val="nil"/>
              <w:left w:val="nil"/>
              <w:bottom w:val="nil"/>
              <w:right w:val="nil"/>
            </w:tcBorders>
            <w:shd w:val="clear" w:color="auto" w:fill="auto"/>
            <w:noWrap/>
            <w:vAlign w:val="bottom"/>
            <w:hideMark/>
          </w:tcPr>
          <w:p w14:paraId="1288D80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13.3</w:t>
            </w:r>
          </w:p>
        </w:tc>
        <w:tc>
          <w:tcPr>
            <w:tcW w:w="1035" w:type="dxa"/>
            <w:tcBorders>
              <w:top w:val="nil"/>
              <w:left w:val="nil"/>
              <w:bottom w:val="nil"/>
              <w:right w:val="nil"/>
            </w:tcBorders>
            <w:shd w:val="clear" w:color="auto" w:fill="auto"/>
            <w:noWrap/>
            <w:vAlign w:val="bottom"/>
            <w:hideMark/>
          </w:tcPr>
          <w:p w14:paraId="26D3E0C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r>
      <w:tr w:rsidR="007653D0" w:rsidRPr="0016235B" w14:paraId="535A50BD" w14:textId="77777777" w:rsidTr="007653D0">
        <w:trPr>
          <w:trHeight w:val="300"/>
        </w:trPr>
        <w:tc>
          <w:tcPr>
            <w:tcW w:w="2170" w:type="dxa"/>
            <w:tcBorders>
              <w:top w:val="nil"/>
              <w:left w:val="nil"/>
              <w:bottom w:val="nil"/>
              <w:right w:val="nil"/>
            </w:tcBorders>
            <w:shd w:val="clear" w:color="000000" w:fill="E7E6E6"/>
            <w:noWrap/>
            <w:vAlign w:val="bottom"/>
            <w:hideMark/>
          </w:tcPr>
          <w:p w14:paraId="7C61C110"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Location</w:t>
            </w:r>
          </w:p>
        </w:tc>
        <w:tc>
          <w:tcPr>
            <w:tcW w:w="944" w:type="dxa"/>
            <w:tcBorders>
              <w:top w:val="nil"/>
              <w:left w:val="nil"/>
              <w:bottom w:val="nil"/>
              <w:right w:val="nil"/>
            </w:tcBorders>
            <w:shd w:val="clear" w:color="000000" w:fill="E7E6E6"/>
            <w:noWrap/>
            <w:vAlign w:val="bottom"/>
            <w:hideMark/>
          </w:tcPr>
          <w:p w14:paraId="4D388FAD"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234" w:type="dxa"/>
            <w:tcBorders>
              <w:top w:val="nil"/>
              <w:left w:val="nil"/>
              <w:bottom w:val="nil"/>
              <w:right w:val="nil"/>
            </w:tcBorders>
            <w:shd w:val="clear" w:color="000000" w:fill="E7E6E6"/>
            <w:noWrap/>
            <w:vAlign w:val="bottom"/>
            <w:hideMark/>
          </w:tcPr>
          <w:p w14:paraId="0DECCC46"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35" w:type="dxa"/>
            <w:tcBorders>
              <w:top w:val="nil"/>
              <w:left w:val="nil"/>
              <w:bottom w:val="nil"/>
              <w:right w:val="nil"/>
            </w:tcBorders>
            <w:shd w:val="clear" w:color="000000" w:fill="E7E6E6"/>
            <w:noWrap/>
            <w:vAlign w:val="bottom"/>
            <w:hideMark/>
          </w:tcPr>
          <w:p w14:paraId="50654689"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584FDCF2"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872" w:type="dxa"/>
            <w:tcBorders>
              <w:top w:val="nil"/>
              <w:left w:val="nil"/>
              <w:bottom w:val="nil"/>
              <w:right w:val="nil"/>
            </w:tcBorders>
            <w:shd w:val="clear" w:color="000000" w:fill="E7E6E6"/>
            <w:noWrap/>
            <w:vAlign w:val="bottom"/>
            <w:hideMark/>
          </w:tcPr>
          <w:p w14:paraId="0ADC0E54"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371E5AE6"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2291EDB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08067D62" w14:textId="77777777" w:rsidTr="007653D0">
        <w:trPr>
          <w:trHeight w:val="300"/>
        </w:trPr>
        <w:tc>
          <w:tcPr>
            <w:tcW w:w="2170" w:type="dxa"/>
            <w:tcBorders>
              <w:top w:val="nil"/>
              <w:left w:val="nil"/>
              <w:bottom w:val="nil"/>
              <w:right w:val="nil"/>
            </w:tcBorders>
            <w:shd w:val="clear" w:color="auto" w:fill="auto"/>
            <w:noWrap/>
            <w:vAlign w:val="bottom"/>
            <w:hideMark/>
          </w:tcPr>
          <w:p w14:paraId="4AD83DC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Urban</w:t>
            </w:r>
          </w:p>
        </w:tc>
        <w:tc>
          <w:tcPr>
            <w:tcW w:w="944" w:type="dxa"/>
            <w:tcBorders>
              <w:top w:val="nil"/>
              <w:left w:val="nil"/>
              <w:bottom w:val="nil"/>
              <w:right w:val="nil"/>
            </w:tcBorders>
            <w:shd w:val="clear" w:color="auto" w:fill="auto"/>
            <w:noWrap/>
            <w:vAlign w:val="bottom"/>
            <w:hideMark/>
          </w:tcPr>
          <w:p w14:paraId="64C6A9F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w:t>
            </w:r>
          </w:p>
        </w:tc>
        <w:tc>
          <w:tcPr>
            <w:tcW w:w="1234" w:type="dxa"/>
            <w:tcBorders>
              <w:top w:val="nil"/>
              <w:left w:val="nil"/>
              <w:bottom w:val="nil"/>
              <w:right w:val="nil"/>
            </w:tcBorders>
            <w:shd w:val="clear" w:color="auto" w:fill="auto"/>
            <w:noWrap/>
            <w:vAlign w:val="bottom"/>
            <w:hideMark/>
          </w:tcPr>
          <w:p w14:paraId="3473958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1035" w:type="dxa"/>
            <w:tcBorders>
              <w:top w:val="nil"/>
              <w:left w:val="nil"/>
              <w:bottom w:val="nil"/>
              <w:right w:val="nil"/>
            </w:tcBorders>
            <w:shd w:val="clear" w:color="auto" w:fill="auto"/>
            <w:noWrap/>
            <w:vAlign w:val="bottom"/>
            <w:hideMark/>
          </w:tcPr>
          <w:p w14:paraId="513BBD8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035" w:type="dxa"/>
            <w:tcBorders>
              <w:top w:val="nil"/>
              <w:left w:val="nil"/>
              <w:bottom w:val="nil"/>
              <w:right w:val="nil"/>
            </w:tcBorders>
            <w:shd w:val="clear" w:color="auto" w:fill="auto"/>
            <w:noWrap/>
            <w:vAlign w:val="bottom"/>
            <w:hideMark/>
          </w:tcPr>
          <w:p w14:paraId="7BE3807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6.7</w:t>
            </w:r>
          </w:p>
        </w:tc>
        <w:tc>
          <w:tcPr>
            <w:tcW w:w="872" w:type="dxa"/>
            <w:tcBorders>
              <w:top w:val="nil"/>
              <w:left w:val="nil"/>
              <w:bottom w:val="nil"/>
              <w:right w:val="nil"/>
            </w:tcBorders>
            <w:shd w:val="clear" w:color="auto" w:fill="auto"/>
            <w:noWrap/>
            <w:vAlign w:val="bottom"/>
            <w:hideMark/>
          </w:tcPr>
          <w:p w14:paraId="61C468E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43.3</w:t>
            </w:r>
          </w:p>
        </w:tc>
        <w:tc>
          <w:tcPr>
            <w:tcW w:w="1035" w:type="dxa"/>
            <w:tcBorders>
              <w:top w:val="nil"/>
              <w:left w:val="nil"/>
              <w:bottom w:val="nil"/>
              <w:right w:val="nil"/>
            </w:tcBorders>
            <w:shd w:val="clear" w:color="auto" w:fill="auto"/>
            <w:noWrap/>
            <w:vAlign w:val="bottom"/>
            <w:hideMark/>
          </w:tcPr>
          <w:p w14:paraId="46F9B37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13.3</w:t>
            </w:r>
          </w:p>
        </w:tc>
        <w:tc>
          <w:tcPr>
            <w:tcW w:w="1035" w:type="dxa"/>
            <w:tcBorders>
              <w:top w:val="nil"/>
              <w:left w:val="nil"/>
              <w:bottom w:val="nil"/>
              <w:right w:val="nil"/>
            </w:tcBorders>
            <w:shd w:val="clear" w:color="auto" w:fill="auto"/>
            <w:noWrap/>
            <w:vAlign w:val="bottom"/>
            <w:hideMark/>
          </w:tcPr>
          <w:p w14:paraId="7465FF7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r>
      <w:tr w:rsidR="007653D0" w:rsidRPr="0016235B" w14:paraId="7ED5A80C" w14:textId="77777777" w:rsidTr="007653D0">
        <w:trPr>
          <w:trHeight w:val="300"/>
        </w:trPr>
        <w:tc>
          <w:tcPr>
            <w:tcW w:w="2170" w:type="dxa"/>
            <w:tcBorders>
              <w:top w:val="nil"/>
              <w:left w:val="nil"/>
              <w:bottom w:val="nil"/>
              <w:right w:val="nil"/>
            </w:tcBorders>
            <w:shd w:val="clear" w:color="auto" w:fill="auto"/>
            <w:noWrap/>
            <w:vAlign w:val="bottom"/>
            <w:hideMark/>
          </w:tcPr>
          <w:p w14:paraId="7C04C388"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Rural</w:t>
            </w:r>
          </w:p>
        </w:tc>
        <w:tc>
          <w:tcPr>
            <w:tcW w:w="944" w:type="dxa"/>
            <w:tcBorders>
              <w:top w:val="nil"/>
              <w:left w:val="nil"/>
              <w:bottom w:val="nil"/>
              <w:right w:val="nil"/>
            </w:tcBorders>
            <w:shd w:val="clear" w:color="auto" w:fill="auto"/>
            <w:noWrap/>
            <w:vAlign w:val="bottom"/>
            <w:hideMark/>
          </w:tcPr>
          <w:p w14:paraId="5DCE3BA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44</w:t>
            </w:r>
          </w:p>
        </w:tc>
        <w:tc>
          <w:tcPr>
            <w:tcW w:w="1234" w:type="dxa"/>
            <w:tcBorders>
              <w:top w:val="nil"/>
              <w:left w:val="nil"/>
              <w:bottom w:val="nil"/>
              <w:right w:val="nil"/>
            </w:tcBorders>
            <w:shd w:val="clear" w:color="auto" w:fill="auto"/>
            <w:noWrap/>
            <w:vAlign w:val="bottom"/>
            <w:hideMark/>
          </w:tcPr>
          <w:p w14:paraId="4BD4650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1.01</w:t>
            </w:r>
          </w:p>
        </w:tc>
        <w:tc>
          <w:tcPr>
            <w:tcW w:w="1035" w:type="dxa"/>
            <w:tcBorders>
              <w:top w:val="nil"/>
              <w:left w:val="nil"/>
              <w:bottom w:val="nil"/>
              <w:right w:val="nil"/>
            </w:tcBorders>
            <w:shd w:val="clear" w:color="auto" w:fill="auto"/>
            <w:noWrap/>
            <w:vAlign w:val="bottom"/>
            <w:hideMark/>
          </w:tcPr>
          <w:p w14:paraId="2E3520E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36.4</w:t>
            </w:r>
          </w:p>
        </w:tc>
        <w:tc>
          <w:tcPr>
            <w:tcW w:w="1035" w:type="dxa"/>
            <w:tcBorders>
              <w:top w:val="nil"/>
              <w:left w:val="nil"/>
              <w:bottom w:val="nil"/>
              <w:right w:val="nil"/>
            </w:tcBorders>
            <w:shd w:val="clear" w:color="auto" w:fill="auto"/>
            <w:noWrap/>
            <w:vAlign w:val="bottom"/>
            <w:hideMark/>
          </w:tcPr>
          <w:p w14:paraId="473B0E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11.4</w:t>
            </w:r>
          </w:p>
        </w:tc>
        <w:tc>
          <w:tcPr>
            <w:tcW w:w="872" w:type="dxa"/>
            <w:tcBorders>
              <w:top w:val="nil"/>
              <w:left w:val="nil"/>
              <w:bottom w:val="nil"/>
              <w:right w:val="nil"/>
            </w:tcBorders>
            <w:shd w:val="clear" w:color="auto" w:fill="auto"/>
            <w:noWrap/>
            <w:vAlign w:val="bottom"/>
            <w:hideMark/>
          </w:tcPr>
          <w:p w14:paraId="3FB9C83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18.2</w:t>
            </w:r>
          </w:p>
        </w:tc>
        <w:tc>
          <w:tcPr>
            <w:tcW w:w="1035" w:type="dxa"/>
            <w:tcBorders>
              <w:top w:val="nil"/>
              <w:left w:val="nil"/>
              <w:bottom w:val="nil"/>
              <w:right w:val="nil"/>
            </w:tcBorders>
            <w:shd w:val="clear" w:color="auto" w:fill="auto"/>
            <w:noWrap/>
            <w:vAlign w:val="bottom"/>
            <w:hideMark/>
          </w:tcPr>
          <w:p w14:paraId="5541A49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13.6</w:t>
            </w:r>
          </w:p>
        </w:tc>
        <w:tc>
          <w:tcPr>
            <w:tcW w:w="1035" w:type="dxa"/>
            <w:tcBorders>
              <w:top w:val="nil"/>
              <w:left w:val="nil"/>
              <w:bottom w:val="nil"/>
              <w:right w:val="nil"/>
            </w:tcBorders>
            <w:shd w:val="clear" w:color="auto" w:fill="auto"/>
            <w:noWrap/>
            <w:vAlign w:val="bottom"/>
            <w:hideMark/>
          </w:tcPr>
          <w:p w14:paraId="525415D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20.5</w:t>
            </w:r>
          </w:p>
        </w:tc>
      </w:tr>
      <w:tr w:rsidR="007653D0" w:rsidRPr="0016235B" w14:paraId="756F26CB" w14:textId="77777777" w:rsidTr="007653D0">
        <w:trPr>
          <w:trHeight w:val="300"/>
        </w:trPr>
        <w:tc>
          <w:tcPr>
            <w:tcW w:w="2170" w:type="dxa"/>
            <w:tcBorders>
              <w:top w:val="nil"/>
              <w:left w:val="nil"/>
              <w:bottom w:val="nil"/>
              <w:right w:val="nil"/>
            </w:tcBorders>
            <w:shd w:val="clear" w:color="000000" w:fill="E7E6E6"/>
            <w:noWrap/>
            <w:vAlign w:val="bottom"/>
            <w:hideMark/>
          </w:tcPr>
          <w:p w14:paraId="659CCC3E"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Health Region</w:t>
            </w:r>
          </w:p>
        </w:tc>
        <w:tc>
          <w:tcPr>
            <w:tcW w:w="944" w:type="dxa"/>
            <w:tcBorders>
              <w:top w:val="nil"/>
              <w:left w:val="nil"/>
              <w:bottom w:val="nil"/>
              <w:right w:val="nil"/>
            </w:tcBorders>
            <w:shd w:val="clear" w:color="000000" w:fill="E7E6E6"/>
            <w:noWrap/>
            <w:vAlign w:val="bottom"/>
            <w:hideMark/>
          </w:tcPr>
          <w:p w14:paraId="4B54585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234" w:type="dxa"/>
            <w:tcBorders>
              <w:top w:val="nil"/>
              <w:left w:val="nil"/>
              <w:bottom w:val="nil"/>
              <w:right w:val="nil"/>
            </w:tcBorders>
            <w:shd w:val="clear" w:color="000000" w:fill="E7E6E6"/>
            <w:noWrap/>
            <w:vAlign w:val="bottom"/>
            <w:hideMark/>
          </w:tcPr>
          <w:p w14:paraId="7DCDD812"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35" w:type="dxa"/>
            <w:tcBorders>
              <w:top w:val="nil"/>
              <w:left w:val="nil"/>
              <w:bottom w:val="nil"/>
              <w:right w:val="nil"/>
            </w:tcBorders>
            <w:shd w:val="clear" w:color="000000" w:fill="E7E6E6"/>
            <w:noWrap/>
            <w:vAlign w:val="bottom"/>
            <w:hideMark/>
          </w:tcPr>
          <w:p w14:paraId="5CE71BE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29266661"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872" w:type="dxa"/>
            <w:tcBorders>
              <w:top w:val="nil"/>
              <w:left w:val="nil"/>
              <w:bottom w:val="nil"/>
              <w:right w:val="nil"/>
            </w:tcBorders>
            <w:shd w:val="clear" w:color="000000" w:fill="E7E6E6"/>
            <w:noWrap/>
            <w:vAlign w:val="bottom"/>
            <w:hideMark/>
          </w:tcPr>
          <w:p w14:paraId="41325B9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43EFE30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35" w:type="dxa"/>
            <w:tcBorders>
              <w:top w:val="nil"/>
              <w:left w:val="nil"/>
              <w:bottom w:val="nil"/>
              <w:right w:val="nil"/>
            </w:tcBorders>
            <w:shd w:val="clear" w:color="000000" w:fill="E7E6E6"/>
            <w:noWrap/>
            <w:vAlign w:val="bottom"/>
            <w:hideMark/>
          </w:tcPr>
          <w:p w14:paraId="64E662F4"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07C15E8D" w14:textId="77777777" w:rsidTr="007653D0">
        <w:trPr>
          <w:trHeight w:val="300"/>
        </w:trPr>
        <w:tc>
          <w:tcPr>
            <w:tcW w:w="2170" w:type="dxa"/>
            <w:tcBorders>
              <w:top w:val="nil"/>
              <w:left w:val="nil"/>
              <w:bottom w:val="nil"/>
              <w:right w:val="nil"/>
            </w:tcBorders>
            <w:shd w:val="clear" w:color="auto" w:fill="auto"/>
            <w:noWrap/>
            <w:vAlign w:val="bottom"/>
            <w:hideMark/>
          </w:tcPr>
          <w:p w14:paraId="4430392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Central1</w:t>
            </w:r>
          </w:p>
        </w:tc>
        <w:tc>
          <w:tcPr>
            <w:tcW w:w="944" w:type="dxa"/>
            <w:tcBorders>
              <w:top w:val="nil"/>
              <w:left w:val="nil"/>
              <w:bottom w:val="nil"/>
              <w:right w:val="nil"/>
            </w:tcBorders>
            <w:shd w:val="clear" w:color="auto" w:fill="auto"/>
            <w:noWrap/>
            <w:vAlign w:val="bottom"/>
            <w:hideMark/>
          </w:tcPr>
          <w:p w14:paraId="090C526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w:t>
            </w:r>
          </w:p>
        </w:tc>
        <w:tc>
          <w:tcPr>
            <w:tcW w:w="1234" w:type="dxa"/>
            <w:tcBorders>
              <w:top w:val="nil"/>
              <w:left w:val="nil"/>
              <w:bottom w:val="nil"/>
              <w:right w:val="nil"/>
            </w:tcBorders>
            <w:shd w:val="clear" w:color="auto" w:fill="auto"/>
            <w:noWrap/>
            <w:vAlign w:val="bottom"/>
            <w:hideMark/>
          </w:tcPr>
          <w:p w14:paraId="38C0E6D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1.07</w:t>
            </w:r>
          </w:p>
        </w:tc>
        <w:tc>
          <w:tcPr>
            <w:tcW w:w="1035" w:type="dxa"/>
            <w:tcBorders>
              <w:top w:val="nil"/>
              <w:left w:val="nil"/>
              <w:bottom w:val="nil"/>
              <w:right w:val="nil"/>
            </w:tcBorders>
            <w:shd w:val="clear" w:color="auto" w:fill="auto"/>
            <w:noWrap/>
            <w:vAlign w:val="bottom"/>
            <w:hideMark/>
          </w:tcPr>
          <w:p w14:paraId="5B65C31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36.4</w:t>
            </w:r>
          </w:p>
        </w:tc>
        <w:tc>
          <w:tcPr>
            <w:tcW w:w="1035" w:type="dxa"/>
            <w:tcBorders>
              <w:top w:val="nil"/>
              <w:left w:val="nil"/>
              <w:bottom w:val="nil"/>
              <w:right w:val="nil"/>
            </w:tcBorders>
            <w:shd w:val="clear" w:color="auto" w:fill="auto"/>
            <w:noWrap/>
            <w:vAlign w:val="bottom"/>
            <w:hideMark/>
          </w:tcPr>
          <w:p w14:paraId="69FB220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9.1</w:t>
            </w:r>
          </w:p>
        </w:tc>
        <w:tc>
          <w:tcPr>
            <w:tcW w:w="872" w:type="dxa"/>
            <w:tcBorders>
              <w:top w:val="nil"/>
              <w:left w:val="nil"/>
              <w:bottom w:val="nil"/>
              <w:right w:val="nil"/>
            </w:tcBorders>
            <w:shd w:val="clear" w:color="auto" w:fill="auto"/>
            <w:noWrap/>
            <w:vAlign w:val="bottom"/>
            <w:hideMark/>
          </w:tcPr>
          <w:p w14:paraId="62552EF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9.1</w:t>
            </w:r>
          </w:p>
        </w:tc>
        <w:tc>
          <w:tcPr>
            <w:tcW w:w="1035" w:type="dxa"/>
            <w:tcBorders>
              <w:top w:val="nil"/>
              <w:left w:val="nil"/>
              <w:bottom w:val="nil"/>
              <w:right w:val="nil"/>
            </w:tcBorders>
            <w:shd w:val="clear" w:color="auto" w:fill="auto"/>
            <w:noWrap/>
            <w:vAlign w:val="bottom"/>
            <w:hideMark/>
          </w:tcPr>
          <w:p w14:paraId="78F8DF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27.3</w:t>
            </w:r>
          </w:p>
        </w:tc>
        <w:tc>
          <w:tcPr>
            <w:tcW w:w="1035" w:type="dxa"/>
            <w:tcBorders>
              <w:top w:val="nil"/>
              <w:left w:val="nil"/>
              <w:bottom w:val="nil"/>
              <w:right w:val="nil"/>
            </w:tcBorders>
            <w:shd w:val="clear" w:color="auto" w:fill="auto"/>
            <w:noWrap/>
            <w:vAlign w:val="bottom"/>
            <w:hideMark/>
          </w:tcPr>
          <w:p w14:paraId="7E9A7D2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18.2</w:t>
            </w:r>
          </w:p>
        </w:tc>
      </w:tr>
      <w:tr w:rsidR="007653D0" w:rsidRPr="0016235B" w14:paraId="2051A18D" w14:textId="77777777" w:rsidTr="007653D0">
        <w:trPr>
          <w:trHeight w:val="300"/>
        </w:trPr>
        <w:tc>
          <w:tcPr>
            <w:tcW w:w="2170" w:type="dxa"/>
            <w:tcBorders>
              <w:top w:val="nil"/>
              <w:left w:val="nil"/>
              <w:bottom w:val="nil"/>
              <w:right w:val="nil"/>
            </w:tcBorders>
            <w:shd w:val="clear" w:color="auto" w:fill="auto"/>
            <w:noWrap/>
            <w:vAlign w:val="bottom"/>
            <w:hideMark/>
          </w:tcPr>
          <w:p w14:paraId="2054FF0C"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Central2</w:t>
            </w:r>
          </w:p>
        </w:tc>
        <w:tc>
          <w:tcPr>
            <w:tcW w:w="944" w:type="dxa"/>
            <w:tcBorders>
              <w:top w:val="nil"/>
              <w:left w:val="nil"/>
              <w:bottom w:val="nil"/>
              <w:right w:val="nil"/>
            </w:tcBorders>
            <w:shd w:val="clear" w:color="auto" w:fill="auto"/>
            <w:noWrap/>
            <w:vAlign w:val="bottom"/>
            <w:hideMark/>
          </w:tcPr>
          <w:p w14:paraId="77C92F3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w:t>
            </w:r>
          </w:p>
        </w:tc>
        <w:tc>
          <w:tcPr>
            <w:tcW w:w="1234" w:type="dxa"/>
            <w:tcBorders>
              <w:top w:val="nil"/>
              <w:left w:val="nil"/>
              <w:bottom w:val="nil"/>
              <w:right w:val="nil"/>
            </w:tcBorders>
            <w:shd w:val="clear" w:color="auto" w:fill="auto"/>
            <w:noWrap/>
            <w:vAlign w:val="bottom"/>
            <w:hideMark/>
          </w:tcPr>
          <w:p w14:paraId="7C24881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1035" w:type="dxa"/>
            <w:tcBorders>
              <w:top w:val="nil"/>
              <w:left w:val="nil"/>
              <w:bottom w:val="nil"/>
              <w:right w:val="nil"/>
            </w:tcBorders>
            <w:shd w:val="clear" w:color="auto" w:fill="auto"/>
            <w:noWrap/>
            <w:vAlign w:val="bottom"/>
            <w:hideMark/>
          </w:tcPr>
          <w:p w14:paraId="208524E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35" w:type="dxa"/>
            <w:tcBorders>
              <w:top w:val="nil"/>
              <w:left w:val="nil"/>
              <w:bottom w:val="nil"/>
              <w:right w:val="nil"/>
            </w:tcBorders>
            <w:shd w:val="clear" w:color="auto" w:fill="auto"/>
            <w:noWrap/>
            <w:vAlign w:val="bottom"/>
            <w:hideMark/>
          </w:tcPr>
          <w:p w14:paraId="2EE6AB2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872" w:type="dxa"/>
            <w:tcBorders>
              <w:top w:val="nil"/>
              <w:left w:val="nil"/>
              <w:bottom w:val="nil"/>
              <w:right w:val="nil"/>
            </w:tcBorders>
            <w:shd w:val="clear" w:color="auto" w:fill="auto"/>
            <w:noWrap/>
            <w:vAlign w:val="bottom"/>
            <w:hideMark/>
          </w:tcPr>
          <w:p w14:paraId="6241F30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42.9</w:t>
            </w:r>
          </w:p>
        </w:tc>
        <w:tc>
          <w:tcPr>
            <w:tcW w:w="1035" w:type="dxa"/>
            <w:tcBorders>
              <w:top w:val="nil"/>
              <w:left w:val="nil"/>
              <w:bottom w:val="nil"/>
              <w:right w:val="nil"/>
            </w:tcBorders>
            <w:shd w:val="clear" w:color="auto" w:fill="auto"/>
            <w:noWrap/>
            <w:vAlign w:val="bottom"/>
            <w:hideMark/>
          </w:tcPr>
          <w:p w14:paraId="171636C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4A40503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28.6</w:t>
            </w:r>
          </w:p>
        </w:tc>
      </w:tr>
      <w:tr w:rsidR="007653D0" w:rsidRPr="0016235B" w14:paraId="0BE3E270" w14:textId="77777777" w:rsidTr="007653D0">
        <w:trPr>
          <w:trHeight w:val="300"/>
        </w:trPr>
        <w:tc>
          <w:tcPr>
            <w:tcW w:w="2170" w:type="dxa"/>
            <w:tcBorders>
              <w:top w:val="nil"/>
              <w:left w:val="nil"/>
              <w:bottom w:val="nil"/>
              <w:right w:val="nil"/>
            </w:tcBorders>
            <w:shd w:val="clear" w:color="auto" w:fill="auto"/>
            <w:noWrap/>
            <w:vAlign w:val="bottom"/>
            <w:hideMark/>
          </w:tcPr>
          <w:p w14:paraId="76AF5CB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Kampala</w:t>
            </w:r>
          </w:p>
        </w:tc>
        <w:tc>
          <w:tcPr>
            <w:tcW w:w="944" w:type="dxa"/>
            <w:tcBorders>
              <w:top w:val="nil"/>
              <w:left w:val="nil"/>
              <w:bottom w:val="nil"/>
              <w:right w:val="nil"/>
            </w:tcBorders>
            <w:shd w:val="clear" w:color="auto" w:fill="auto"/>
            <w:noWrap/>
            <w:vAlign w:val="bottom"/>
            <w:hideMark/>
          </w:tcPr>
          <w:p w14:paraId="40849EB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w:t>
            </w:r>
          </w:p>
        </w:tc>
        <w:tc>
          <w:tcPr>
            <w:tcW w:w="1234" w:type="dxa"/>
            <w:tcBorders>
              <w:top w:val="nil"/>
              <w:left w:val="nil"/>
              <w:bottom w:val="nil"/>
              <w:right w:val="nil"/>
            </w:tcBorders>
            <w:shd w:val="clear" w:color="auto" w:fill="auto"/>
            <w:noWrap/>
            <w:vAlign w:val="bottom"/>
            <w:hideMark/>
          </w:tcPr>
          <w:p w14:paraId="3AC8A76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0.69</w:t>
            </w:r>
          </w:p>
        </w:tc>
        <w:tc>
          <w:tcPr>
            <w:tcW w:w="1035" w:type="dxa"/>
            <w:tcBorders>
              <w:top w:val="nil"/>
              <w:left w:val="nil"/>
              <w:bottom w:val="nil"/>
              <w:right w:val="nil"/>
            </w:tcBorders>
            <w:shd w:val="clear" w:color="auto" w:fill="auto"/>
            <w:noWrap/>
            <w:vAlign w:val="bottom"/>
            <w:hideMark/>
          </w:tcPr>
          <w:p w14:paraId="3ECB99C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75.0</w:t>
            </w:r>
          </w:p>
        </w:tc>
        <w:tc>
          <w:tcPr>
            <w:tcW w:w="1035" w:type="dxa"/>
            <w:tcBorders>
              <w:top w:val="nil"/>
              <w:left w:val="nil"/>
              <w:bottom w:val="nil"/>
              <w:right w:val="nil"/>
            </w:tcBorders>
            <w:shd w:val="clear" w:color="auto" w:fill="auto"/>
            <w:noWrap/>
            <w:vAlign w:val="bottom"/>
            <w:hideMark/>
          </w:tcPr>
          <w:p w14:paraId="23D71BF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72" w:type="dxa"/>
            <w:tcBorders>
              <w:top w:val="nil"/>
              <w:left w:val="nil"/>
              <w:bottom w:val="nil"/>
              <w:right w:val="nil"/>
            </w:tcBorders>
            <w:shd w:val="clear" w:color="auto" w:fill="auto"/>
            <w:noWrap/>
            <w:vAlign w:val="bottom"/>
            <w:hideMark/>
          </w:tcPr>
          <w:p w14:paraId="0E58C72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7EDDA0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5" w:type="dxa"/>
            <w:tcBorders>
              <w:top w:val="nil"/>
              <w:left w:val="nil"/>
              <w:bottom w:val="nil"/>
              <w:right w:val="nil"/>
            </w:tcBorders>
            <w:shd w:val="clear" w:color="auto" w:fill="auto"/>
            <w:noWrap/>
            <w:vAlign w:val="bottom"/>
            <w:hideMark/>
          </w:tcPr>
          <w:p w14:paraId="176EACB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1FC14A31" w14:textId="77777777" w:rsidTr="007653D0">
        <w:trPr>
          <w:trHeight w:val="300"/>
        </w:trPr>
        <w:tc>
          <w:tcPr>
            <w:tcW w:w="2170" w:type="dxa"/>
            <w:tcBorders>
              <w:top w:val="nil"/>
              <w:left w:val="nil"/>
              <w:bottom w:val="nil"/>
              <w:right w:val="nil"/>
            </w:tcBorders>
            <w:shd w:val="clear" w:color="auto" w:fill="auto"/>
            <w:noWrap/>
            <w:vAlign w:val="bottom"/>
            <w:hideMark/>
          </w:tcPr>
          <w:p w14:paraId="407297E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Karamoja</w:t>
            </w:r>
          </w:p>
        </w:tc>
        <w:tc>
          <w:tcPr>
            <w:tcW w:w="944" w:type="dxa"/>
            <w:tcBorders>
              <w:top w:val="nil"/>
              <w:left w:val="nil"/>
              <w:bottom w:val="nil"/>
              <w:right w:val="nil"/>
            </w:tcBorders>
            <w:shd w:val="clear" w:color="auto" w:fill="auto"/>
            <w:noWrap/>
            <w:vAlign w:val="bottom"/>
            <w:hideMark/>
          </w:tcPr>
          <w:p w14:paraId="0739B7F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w:t>
            </w:r>
          </w:p>
        </w:tc>
        <w:tc>
          <w:tcPr>
            <w:tcW w:w="1234" w:type="dxa"/>
            <w:tcBorders>
              <w:top w:val="nil"/>
              <w:left w:val="nil"/>
              <w:bottom w:val="nil"/>
              <w:right w:val="nil"/>
            </w:tcBorders>
            <w:shd w:val="clear" w:color="auto" w:fill="auto"/>
            <w:noWrap/>
            <w:vAlign w:val="bottom"/>
            <w:hideMark/>
          </w:tcPr>
          <w:p w14:paraId="4C52F95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0.67</w:t>
            </w:r>
          </w:p>
        </w:tc>
        <w:tc>
          <w:tcPr>
            <w:tcW w:w="1035" w:type="dxa"/>
            <w:tcBorders>
              <w:top w:val="nil"/>
              <w:left w:val="nil"/>
              <w:bottom w:val="nil"/>
              <w:right w:val="nil"/>
            </w:tcBorders>
            <w:shd w:val="clear" w:color="auto" w:fill="auto"/>
            <w:noWrap/>
            <w:vAlign w:val="bottom"/>
            <w:hideMark/>
          </w:tcPr>
          <w:p w14:paraId="26342F1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1035" w:type="dxa"/>
            <w:tcBorders>
              <w:top w:val="nil"/>
              <w:left w:val="nil"/>
              <w:bottom w:val="nil"/>
              <w:right w:val="nil"/>
            </w:tcBorders>
            <w:shd w:val="clear" w:color="auto" w:fill="auto"/>
            <w:noWrap/>
            <w:vAlign w:val="bottom"/>
            <w:hideMark/>
          </w:tcPr>
          <w:p w14:paraId="3AFF267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72" w:type="dxa"/>
            <w:tcBorders>
              <w:top w:val="nil"/>
              <w:left w:val="nil"/>
              <w:bottom w:val="nil"/>
              <w:right w:val="nil"/>
            </w:tcBorders>
            <w:shd w:val="clear" w:color="auto" w:fill="auto"/>
            <w:noWrap/>
            <w:vAlign w:val="bottom"/>
            <w:hideMark/>
          </w:tcPr>
          <w:p w14:paraId="6973D4B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66.7</w:t>
            </w:r>
          </w:p>
        </w:tc>
        <w:tc>
          <w:tcPr>
            <w:tcW w:w="1035" w:type="dxa"/>
            <w:tcBorders>
              <w:top w:val="nil"/>
              <w:left w:val="nil"/>
              <w:bottom w:val="nil"/>
              <w:right w:val="nil"/>
            </w:tcBorders>
            <w:shd w:val="clear" w:color="auto" w:fill="auto"/>
            <w:noWrap/>
            <w:vAlign w:val="bottom"/>
            <w:hideMark/>
          </w:tcPr>
          <w:p w14:paraId="1BB515E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0D15FE1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11FBD239" w14:textId="77777777" w:rsidTr="007653D0">
        <w:trPr>
          <w:trHeight w:val="300"/>
        </w:trPr>
        <w:tc>
          <w:tcPr>
            <w:tcW w:w="2170" w:type="dxa"/>
            <w:tcBorders>
              <w:top w:val="nil"/>
              <w:left w:val="nil"/>
              <w:bottom w:val="nil"/>
              <w:right w:val="nil"/>
            </w:tcBorders>
            <w:shd w:val="clear" w:color="auto" w:fill="auto"/>
            <w:noWrap/>
            <w:vAlign w:val="bottom"/>
            <w:hideMark/>
          </w:tcPr>
          <w:p w14:paraId="5547F61E" w14:textId="77777777" w:rsidR="007653D0" w:rsidRPr="0016235B" w:rsidRDefault="007653D0" w:rsidP="007653D0">
            <w:pPr>
              <w:spacing w:after="0" w:line="240" w:lineRule="auto"/>
              <w:rPr>
                <w:rFonts w:ascii="Candara" w:eastAsia="Times New Roman" w:hAnsi="Candara" w:cs="Calibri"/>
                <w:color w:val="000000"/>
                <w:sz w:val="20"/>
                <w:szCs w:val="20"/>
              </w:rPr>
            </w:pPr>
            <w:proofErr w:type="spellStart"/>
            <w:r w:rsidRPr="0016235B">
              <w:rPr>
                <w:rFonts w:ascii="Candara" w:eastAsia="Times New Roman" w:hAnsi="Candara" w:cs="Calibri"/>
                <w:color w:val="000000"/>
                <w:sz w:val="20"/>
                <w:szCs w:val="20"/>
              </w:rPr>
              <w:t>Mid East</w:t>
            </w:r>
            <w:proofErr w:type="spellEnd"/>
          </w:p>
        </w:tc>
        <w:tc>
          <w:tcPr>
            <w:tcW w:w="944" w:type="dxa"/>
            <w:tcBorders>
              <w:top w:val="nil"/>
              <w:left w:val="nil"/>
              <w:bottom w:val="nil"/>
              <w:right w:val="nil"/>
            </w:tcBorders>
            <w:shd w:val="clear" w:color="auto" w:fill="auto"/>
            <w:noWrap/>
            <w:vAlign w:val="bottom"/>
            <w:hideMark/>
          </w:tcPr>
          <w:p w14:paraId="44B9BF3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w:t>
            </w:r>
          </w:p>
        </w:tc>
        <w:tc>
          <w:tcPr>
            <w:tcW w:w="1234" w:type="dxa"/>
            <w:tcBorders>
              <w:top w:val="nil"/>
              <w:left w:val="nil"/>
              <w:bottom w:val="nil"/>
              <w:right w:val="nil"/>
            </w:tcBorders>
            <w:shd w:val="clear" w:color="auto" w:fill="auto"/>
            <w:noWrap/>
            <w:vAlign w:val="bottom"/>
            <w:hideMark/>
          </w:tcPr>
          <w:p w14:paraId="24E913B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1.37</w:t>
            </w:r>
          </w:p>
        </w:tc>
        <w:tc>
          <w:tcPr>
            <w:tcW w:w="1035" w:type="dxa"/>
            <w:tcBorders>
              <w:top w:val="nil"/>
              <w:left w:val="nil"/>
              <w:bottom w:val="nil"/>
              <w:right w:val="nil"/>
            </w:tcBorders>
            <w:shd w:val="clear" w:color="auto" w:fill="auto"/>
            <w:noWrap/>
            <w:vAlign w:val="bottom"/>
            <w:hideMark/>
          </w:tcPr>
          <w:p w14:paraId="1CA64DE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035" w:type="dxa"/>
            <w:tcBorders>
              <w:top w:val="nil"/>
              <w:left w:val="nil"/>
              <w:bottom w:val="nil"/>
              <w:right w:val="nil"/>
            </w:tcBorders>
            <w:shd w:val="clear" w:color="auto" w:fill="auto"/>
            <w:noWrap/>
            <w:vAlign w:val="bottom"/>
            <w:hideMark/>
          </w:tcPr>
          <w:p w14:paraId="3307DC3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872" w:type="dxa"/>
            <w:tcBorders>
              <w:top w:val="nil"/>
              <w:left w:val="nil"/>
              <w:bottom w:val="nil"/>
              <w:right w:val="nil"/>
            </w:tcBorders>
            <w:shd w:val="clear" w:color="auto" w:fill="auto"/>
            <w:noWrap/>
            <w:vAlign w:val="bottom"/>
            <w:hideMark/>
          </w:tcPr>
          <w:p w14:paraId="4F979AB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035" w:type="dxa"/>
            <w:tcBorders>
              <w:top w:val="nil"/>
              <w:left w:val="nil"/>
              <w:bottom w:val="nil"/>
              <w:right w:val="nil"/>
            </w:tcBorders>
            <w:shd w:val="clear" w:color="auto" w:fill="auto"/>
            <w:noWrap/>
            <w:vAlign w:val="bottom"/>
            <w:hideMark/>
          </w:tcPr>
          <w:p w14:paraId="0616766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035" w:type="dxa"/>
            <w:tcBorders>
              <w:top w:val="nil"/>
              <w:left w:val="nil"/>
              <w:bottom w:val="nil"/>
              <w:right w:val="nil"/>
            </w:tcBorders>
            <w:shd w:val="clear" w:color="auto" w:fill="auto"/>
            <w:noWrap/>
            <w:vAlign w:val="bottom"/>
            <w:hideMark/>
          </w:tcPr>
          <w:p w14:paraId="26C9422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r>
      <w:tr w:rsidR="007653D0" w:rsidRPr="0016235B" w14:paraId="19E04601" w14:textId="77777777" w:rsidTr="007653D0">
        <w:trPr>
          <w:trHeight w:val="300"/>
        </w:trPr>
        <w:tc>
          <w:tcPr>
            <w:tcW w:w="2170" w:type="dxa"/>
            <w:tcBorders>
              <w:top w:val="nil"/>
              <w:left w:val="nil"/>
              <w:bottom w:val="nil"/>
              <w:right w:val="nil"/>
            </w:tcBorders>
            <w:shd w:val="clear" w:color="auto" w:fill="auto"/>
            <w:noWrap/>
            <w:vAlign w:val="bottom"/>
            <w:hideMark/>
          </w:tcPr>
          <w:p w14:paraId="04BC9872"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Mid-North</w:t>
            </w:r>
          </w:p>
        </w:tc>
        <w:tc>
          <w:tcPr>
            <w:tcW w:w="944" w:type="dxa"/>
            <w:tcBorders>
              <w:top w:val="nil"/>
              <w:left w:val="nil"/>
              <w:bottom w:val="nil"/>
              <w:right w:val="nil"/>
            </w:tcBorders>
            <w:shd w:val="clear" w:color="auto" w:fill="auto"/>
            <w:noWrap/>
            <w:vAlign w:val="bottom"/>
            <w:hideMark/>
          </w:tcPr>
          <w:p w14:paraId="523108A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w:t>
            </w:r>
          </w:p>
        </w:tc>
        <w:tc>
          <w:tcPr>
            <w:tcW w:w="1234" w:type="dxa"/>
            <w:tcBorders>
              <w:top w:val="nil"/>
              <w:left w:val="nil"/>
              <w:bottom w:val="nil"/>
              <w:right w:val="nil"/>
            </w:tcBorders>
            <w:shd w:val="clear" w:color="auto" w:fill="auto"/>
            <w:noWrap/>
            <w:vAlign w:val="bottom"/>
            <w:hideMark/>
          </w:tcPr>
          <w:p w14:paraId="3E26EF0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0.66</w:t>
            </w:r>
          </w:p>
        </w:tc>
        <w:tc>
          <w:tcPr>
            <w:tcW w:w="1035" w:type="dxa"/>
            <w:tcBorders>
              <w:top w:val="nil"/>
              <w:left w:val="nil"/>
              <w:bottom w:val="nil"/>
              <w:right w:val="nil"/>
            </w:tcBorders>
            <w:shd w:val="clear" w:color="auto" w:fill="auto"/>
            <w:noWrap/>
            <w:vAlign w:val="bottom"/>
            <w:hideMark/>
          </w:tcPr>
          <w:p w14:paraId="76AD988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71.4</w:t>
            </w:r>
          </w:p>
        </w:tc>
        <w:tc>
          <w:tcPr>
            <w:tcW w:w="1035" w:type="dxa"/>
            <w:tcBorders>
              <w:top w:val="nil"/>
              <w:left w:val="nil"/>
              <w:bottom w:val="nil"/>
              <w:right w:val="nil"/>
            </w:tcBorders>
            <w:shd w:val="clear" w:color="auto" w:fill="auto"/>
            <w:noWrap/>
            <w:vAlign w:val="bottom"/>
            <w:hideMark/>
          </w:tcPr>
          <w:p w14:paraId="7CC0F52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872" w:type="dxa"/>
            <w:tcBorders>
              <w:top w:val="nil"/>
              <w:left w:val="nil"/>
              <w:bottom w:val="nil"/>
              <w:right w:val="nil"/>
            </w:tcBorders>
            <w:shd w:val="clear" w:color="auto" w:fill="auto"/>
            <w:noWrap/>
            <w:vAlign w:val="bottom"/>
            <w:hideMark/>
          </w:tcPr>
          <w:p w14:paraId="1189433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59E4666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35" w:type="dxa"/>
            <w:tcBorders>
              <w:top w:val="nil"/>
              <w:left w:val="nil"/>
              <w:bottom w:val="nil"/>
              <w:right w:val="nil"/>
            </w:tcBorders>
            <w:shd w:val="clear" w:color="auto" w:fill="auto"/>
            <w:noWrap/>
            <w:vAlign w:val="bottom"/>
            <w:hideMark/>
          </w:tcPr>
          <w:p w14:paraId="2A3A4E7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42F2A9DF" w14:textId="77777777" w:rsidTr="007653D0">
        <w:trPr>
          <w:trHeight w:val="300"/>
        </w:trPr>
        <w:tc>
          <w:tcPr>
            <w:tcW w:w="2170" w:type="dxa"/>
            <w:tcBorders>
              <w:top w:val="nil"/>
              <w:left w:val="nil"/>
              <w:bottom w:val="nil"/>
              <w:right w:val="nil"/>
            </w:tcBorders>
            <w:shd w:val="clear" w:color="auto" w:fill="auto"/>
            <w:noWrap/>
            <w:vAlign w:val="bottom"/>
            <w:hideMark/>
          </w:tcPr>
          <w:p w14:paraId="4BEA5EFE"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Mid-West</w:t>
            </w:r>
          </w:p>
        </w:tc>
        <w:tc>
          <w:tcPr>
            <w:tcW w:w="944" w:type="dxa"/>
            <w:tcBorders>
              <w:top w:val="nil"/>
              <w:left w:val="nil"/>
              <w:bottom w:val="nil"/>
              <w:right w:val="nil"/>
            </w:tcBorders>
            <w:shd w:val="clear" w:color="auto" w:fill="auto"/>
            <w:noWrap/>
            <w:vAlign w:val="bottom"/>
            <w:hideMark/>
          </w:tcPr>
          <w:p w14:paraId="794B0CD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234" w:type="dxa"/>
            <w:tcBorders>
              <w:top w:val="nil"/>
              <w:left w:val="nil"/>
              <w:bottom w:val="nil"/>
              <w:right w:val="nil"/>
            </w:tcBorders>
            <w:shd w:val="clear" w:color="auto" w:fill="auto"/>
            <w:noWrap/>
            <w:vAlign w:val="bottom"/>
            <w:hideMark/>
          </w:tcPr>
          <w:p w14:paraId="4F377FE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1.13</w:t>
            </w:r>
          </w:p>
        </w:tc>
        <w:tc>
          <w:tcPr>
            <w:tcW w:w="1035" w:type="dxa"/>
            <w:tcBorders>
              <w:top w:val="nil"/>
              <w:left w:val="nil"/>
              <w:bottom w:val="nil"/>
              <w:right w:val="nil"/>
            </w:tcBorders>
            <w:shd w:val="clear" w:color="auto" w:fill="auto"/>
            <w:noWrap/>
            <w:vAlign w:val="bottom"/>
            <w:hideMark/>
          </w:tcPr>
          <w:p w14:paraId="1F32699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6C0A2AF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72" w:type="dxa"/>
            <w:tcBorders>
              <w:top w:val="nil"/>
              <w:left w:val="nil"/>
              <w:bottom w:val="nil"/>
              <w:right w:val="nil"/>
            </w:tcBorders>
            <w:shd w:val="clear" w:color="auto" w:fill="auto"/>
            <w:noWrap/>
            <w:vAlign w:val="bottom"/>
            <w:hideMark/>
          </w:tcPr>
          <w:p w14:paraId="5D1FF0E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62.5</w:t>
            </w:r>
          </w:p>
        </w:tc>
        <w:tc>
          <w:tcPr>
            <w:tcW w:w="1035" w:type="dxa"/>
            <w:tcBorders>
              <w:top w:val="nil"/>
              <w:left w:val="nil"/>
              <w:bottom w:val="nil"/>
              <w:right w:val="nil"/>
            </w:tcBorders>
            <w:shd w:val="clear" w:color="auto" w:fill="auto"/>
            <w:noWrap/>
            <w:vAlign w:val="bottom"/>
            <w:hideMark/>
          </w:tcPr>
          <w:p w14:paraId="2D6A4C7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6203B2E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r>
      <w:tr w:rsidR="007653D0" w:rsidRPr="0016235B" w14:paraId="125A181B" w14:textId="77777777" w:rsidTr="007653D0">
        <w:trPr>
          <w:trHeight w:val="300"/>
        </w:trPr>
        <w:tc>
          <w:tcPr>
            <w:tcW w:w="2170" w:type="dxa"/>
            <w:tcBorders>
              <w:top w:val="nil"/>
              <w:left w:val="nil"/>
              <w:bottom w:val="nil"/>
              <w:right w:val="nil"/>
            </w:tcBorders>
            <w:shd w:val="clear" w:color="auto" w:fill="auto"/>
            <w:noWrap/>
            <w:vAlign w:val="bottom"/>
            <w:hideMark/>
          </w:tcPr>
          <w:p w14:paraId="726BB011"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North East</w:t>
            </w:r>
          </w:p>
        </w:tc>
        <w:tc>
          <w:tcPr>
            <w:tcW w:w="944" w:type="dxa"/>
            <w:tcBorders>
              <w:top w:val="nil"/>
              <w:left w:val="nil"/>
              <w:bottom w:val="nil"/>
              <w:right w:val="nil"/>
            </w:tcBorders>
            <w:shd w:val="clear" w:color="auto" w:fill="auto"/>
            <w:noWrap/>
            <w:vAlign w:val="bottom"/>
            <w:hideMark/>
          </w:tcPr>
          <w:p w14:paraId="284E772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w:t>
            </w:r>
          </w:p>
        </w:tc>
        <w:tc>
          <w:tcPr>
            <w:tcW w:w="1234" w:type="dxa"/>
            <w:tcBorders>
              <w:top w:val="nil"/>
              <w:left w:val="nil"/>
              <w:bottom w:val="nil"/>
              <w:right w:val="nil"/>
            </w:tcBorders>
            <w:shd w:val="clear" w:color="auto" w:fill="auto"/>
            <w:noWrap/>
            <w:vAlign w:val="bottom"/>
            <w:hideMark/>
          </w:tcPr>
          <w:p w14:paraId="653D300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1035" w:type="dxa"/>
            <w:tcBorders>
              <w:top w:val="nil"/>
              <w:left w:val="nil"/>
              <w:bottom w:val="nil"/>
              <w:right w:val="nil"/>
            </w:tcBorders>
            <w:shd w:val="clear" w:color="auto" w:fill="auto"/>
            <w:noWrap/>
            <w:vAlign w:val="bottom"/>
            <w:hideMark/>
          </w:tcPr>
          <w:p w14:paraId="7768BD8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083CED3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72" w:type="dxa"/>
            <w:tcBorders>
              <w:top w:val="nil"/>
              <w:left w:val="nil"/>
              <w:bottom w:val="nil"/>
              <w:right w:val="nil"/>
            </w:tcBorders>
            <w:shd w:val="clear" w:color="auto" w:fill="auto"/>
            <w:noWrap/>
            <w:vAlign w:val="bottom"/>
            <w:hideMark/>
          </w:tcPr>
          <w:p w14:paraId="24644D5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100.0</w:t>
            </w:r>
          </w:p>
        </w:tc>
        <w:tc>
          <w:tcPr>
            <w:tcW w:w="1035" w:type="dxa"/>
            <w:tcBorders>
              <w:top w:val="nil"/>
              <w:left w:val="nil"/>
              <w:bottom w:val="nil"/>
              <w:right w:val="nil"/>
            </w:tcBorders>
            <w:shd w:val="clear" w:color="auto" w:fill="auto"/>
            <w:noWrap/>
            <w:vAlign w:val="bottom"/>
            <w:hideMark/>
          </w:tcPr>
          <w:p w14:paraId="36F7C29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35" w:type="dxa"/>
            <w:tcBorders>
              <w:top w:val="nil"/>
              <w:left w:val="nil"/>
              <w:bottom w:val="nil"/>
              <w:right w:val="nil"/>
            </w:tcBorders>
            <w:shd w:val="clear" w:color="auto" w:fill="auto"/>
            <w:noWrap/>
            <w:vAlign w:val="bottom"/>
            <w:hideMark/>
          </w:tcPr>
          <w:p w14:paraId="59F11FB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68DA7F92" w14:textId="77777777" w:rsidTr="007653D0">
        <w:trPr>
          <w:trHeight w:val="300"/>
        </w:trPr>
        <w:tc>
          <w:tcPr>
            <w:tcW w:w="2170" w:type="dxa"/>
            <w:tcBorders>
              <w:top w:val="nil"/>
              <w:left w:val="nil"/>
              <w:bottom w:val="nil"/>
              <w:right w:val="nil"/>
            </w:tcBorders>
            <w:shd w:val="clear" w:color="auto" w:fill="auto"/>
            <w:noWrap/>
            <w:vAlign w:val="bottom"/>
            <w:hideMark/>
          </w:tcPr>
          <w:p w14:paraId="255B83E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South West</w:t>
            </w:r>
          </w:p>
        </w:tc>
        <w:tc>
          <w:tcPr>
            <w:tcW w:w="944" w:type="dxa"/>
            <w:tcBorders>
              <w:top w:val="nil"/>
              <w:left w:val="nil"/>
              <w:bottom w:val="nil"/>
              <w:right w:val="nil"/>
            </w:tcBorders>
            <w:shd w:val="clear" w:color="auto" w:fill="auto"/>
            <w:noWrap/>
            <w:vAlign w:val="bottom"/>
            <w:hideMark/>
          </w:tcPr>
          <w:p w14:paraId="42DEE77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w:t>
            </w:r>
          </w:p>
        </w:tc>
        <w:tc>
          <w:tcPr>
            <w:tcW w:w="1234" w:type="dxa"/>
            <w:tcBorders>
              <w:top w:val="nil"/>
              <w:left w:val="nil"/>
              <w:bottom w:val="nil"/>
              <w:right w:val="nil"/>
            </w:tcBorders>
            <w:shd w:val="clear" w:color="auto" w:fill="auto"/>
            <w:noWrap/>
            <w:vAlign w:val="bottom"/>
            <w:hideMark/>
          </w:tcPr>
          <w:p w14:paraId="7C6297D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0.90</w:t>
            </w:r>
          </w:p>
        </w:tc>
        <w:tc>
          <w:tcPr>
            <w:tcW w:w="1035" w:type="dxa"/>
            <w:tcBorders>
              <w:top w:val="nil"/>
              <w:left w:val="nil"/>
              <w:bottom w:val="nil"/>
              <w:right w:val="nil"/>
            </w:tcBorders>
            <w:shd w:val="clear" w:color="auto" w:fill="auto"/>
            <w:noWrap/>
            <w:vAlign w:val="bottom"/>
            <w:hideMark/>
          </w:tcPr>
          <w:p w14:paraId="6D673A1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30.8</w:t>
            </w:r>
          </w:p>
        </w:tc>
        <w:tc>
          <w:tcPr>
            <w:tcW w:w="1035" w:type="dxa"/>
            <w:tcBorders>
              <w:top w:val="nil"/>
              <w:left w:val="nil"/>
              <w:bottom w:val="nil"/>
              <w:right w:val="nil"/>
            </w:tcBorders>
            <w:shd w:val="clear" w:color="auto" w:fill="auto"/>
            <w:noWrap/>
            <w:vAlign w:val="bottom"/>
            <w:hideMark/>
          </w:tcPr>
          <w:p w14:paraId="2C2C664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872" w:type="dxa"/>
            <w:tcBorders>
              <w:top w:val="nil"/>
              <w:left w:val="nil"/>
              <w:bottom w:val="nil"/>
              <w:right w:val="nil"/>
            </w:tcBorders>
            <w:shd w:val="clear" w:color="auto" w:fill="auto"/>
            <w:noWrap/>
            <w:vAlign w:val="bottom"/>
            <w:hideMark/>
          </w:tcPr>
          <w:p w14:paraId="3E5CE7F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38.5</w:t>
            </w:r>
          </w:p>
        </w:tc>
        <w:tc>
          <w:tcPr>
            <w:tcW w:w="1035" w:type="dxa"/>
            <w:tcBorders>
              <w:top w:val="nil"/>
              <w:left w:val="nil"/>
              <w:bottom w:val="nil"/>
              <w:right w:val="nil"/>
            </w:tcBorders>
            <w:shd w:val="clear" w:color="auto" w:fill="auto"/>
            <w:noWrap/>
            <w:vAlign w:val="bottom"/>
            <w:hideMark/>
          </w:tcPr>
          <w:p w14:paraId="0D3AF83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15.4</w:t>
            </w:r>
          </w:p>
        </w:tc>
        <w:tc>
          <w:tcPr>
            <w:tcW w:w="1035" w:type="dxa"/>
            <w:tcBorders>
              <w:top w:val="nil"/>
              <w:left w:val="nil"/>
              <w:bottom w:val="nil"/>
              <w:right w:val="nil"/>
            </w:tcBorders>
            <w:shd w:val="clear" w:color="auto" w:fill="auto"/>
            <w:noWrap/>
            <w:vAlign w:val="bottom"/>
            <w:hideMark/>
          </w:tcPr>
          <w:p w14:paraId="2A50625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15.4</w:t>
            </w:r>
          </w:p>
        </w:tc>
      </w:tr>
      <w:tr w:rsidR="007653D0" w:rsidRPr="0016235B" w14:paraId="6B0BC6FF" w14:textId="77777777" w:rsidTr="007653D0">
        <w:trPr>
          <w:trHeight w:val="300"/>
        </w:trPr>
        <w:tc>
          <w:tcPr>
            <w:tcW w:w="2170" w:type="dxa"/>
            <w:tcBorders>
              <w:top w:val="nil"/>
              <w:left w:val="nil"/>
              <w:bottom w:val="nil"/>
              <w:right w:val="nil"/>
            </w:tcBorders>
            <w:shd w:val="clear" w:color="auto" w:fill="auto"/>
            <w:noWrap/>
            <w:vAlign w:val="bottom"/>
            <w:hideMark/>
          </w:tcPr>
          <w:p w14:paraId="215CF28F"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West Nile</w:t>
            </w:r>
          </w:p>
        </w:tc>
        <w:tc>
          <w:tcPr>
            <w:tcW w:w="944" w:type="dxa"/>
            <w:tcBorders>
              <w:top w:val="nil"/>
              <w:left w:val="nil"/>
              <w:bottom w:val="nil"/>
              <w:right w:val="nil"/>
            </w:tcBorders>
            <w:shd w:val="clear" w:color="auto" w:fill="auto"/>
            <w:noWrap/>
            <w:vAlign w:val="bottom"/>
            <w:hideMark/>
          </w:tcPr>
          <w:p w14:paraId="05D22EB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234" w:type="dxa"/>
            <w:tcBorders>
              <w:top w:val="nil"/>
              <w:left w:val="nil"/>
              <w:bottom w:val="nil"/>
              <w:right w:val="nil"/>
            </w:tcBorders>
            <w:shd w:val="clear" w:color="auto" w:fill="auto"/>
            <w:noWrap/>
            <w:vAlign w:val="bottom"/>
            <w:hideMark/>
          </w:tcPr>
          <w:p w14:paraId="6B57095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1.01</w:t>
            </w:r>
          </w:p>
        </w:tc>
        <w:tc>
          <w:tcPr>
            <w:tcW w:w="1035" w:type="dxa"/>
            <w:tcBorders>
              <w:top w:val="nil"/>
              <w:left w:val="nil"/>
              <w:bottom w:val="nil"/>
              <w:right w:val="nil"/>
            </w:tcBorders>
            <w:shd w:val="clear" w:color="auto" w:fill="auto"/>
            <w:noWrap/>
            <w:vAlign w:val="bottom"/>
            <w:hideMark/>
          </w:tcPr>
          <w:p w14:paraId="050ED0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035" w:type="dxa"/>
            <w:tcBorders>
              <w:top w:val="nil"/>
              <w:left w:val="nil"/>
              <w:bottom w:val="nil"/>
              <w:right w:val="nil"/>
            </w:tcBorders>
            <w:shd w:val="clear" w:color="auto" w:fill="auto"/>
            <w:noWrap/>
            <w:vAlign w:val="bottom"/>
            <w:hideMark/>
          </w:tcPr>
          <w:p w14:paraId="24732C3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872" w:type="dxa"/>
            <w:tcBorders>
              <w:top w:val="nil"/>
              <w:left w:val="nil"/>
              <w:bottom w:val="nil"/>
              <w:right w:val="nil"/>
            </w:tcBorders>
            <w:shd w:val="clear" w:color="auto" w:fill="auto"/>
            <w:noWrap/>
            <w:vAlign w:val="bottom"/>
            <w:hideMark/>
          </w:tcPr>
          <w:p w14:paraId="7174BC7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35" w:type="dxa"/>
            <w:tcBorders>
              <w:top w:val="nil"/>
              <w:left w:val="nil"/>
              <w:bottom w:val="nil"/>
              <w:right w:val="nil"/>
            </w:tcBorders>
            <w:shd w:val="clear" w:color="auto" w:fill="auto"/>
            <w:noWrap/>
            <w:vAlign w:val="bottom"/>
            <w:hideMark/>
          </w:tcPr>
          <w:p w14:paraId="266FADD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035" w:type="dxa"/>
            <w:tcBorders>
              <w:top w:val="nil"/>
              <w:left w:val="nil"/>
              <w:bottom w:val="nil"/>
              <w:right w:val="nil"/>
            </w:tcBorders>
            <w:shd w:val="clear" w:color="auto" w:fill="auto"/>
            <w:noWrap/>
            <w:vAlign w:val="bottom"/>
            <w:hideMark/>
          </w:tcPr>
          <w:p w14:paraId="256D3EB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r>
      <w:tr w:rsidR="007653D0" w:rsidRPr="0016235B" w14:paraId="1AF29768" w14:textId="77777777" w:rsidTr="007653D0">
        <w:trPr>
          <w:trHeight w:val="300"/>
        </w:trPr>
        <w:tc>
          <w:tcPr>
            <w:tcW w:w="2170" w:type="dxa"/>
            <w:tcBorders>
              <w:top w:val="nil"/>
              <w:left w:val="nil"/>
              <w:bottom w:val="nil"/>
              <w:right w:val="nil"/>
            </w:tcBorders>
            <w:shd w:val="clear" w:color="000000" w:fill="E7E6E6"/>
            <w:noWrap/>
            <w:vAlign w:val="bottom"/>
            <w:hideMark/>
          </w:tcPr>
          <w:p w14:paraId="3DDE20A5"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xml:space="preserve">Uganda </w:t>
            </w:r>
          </w:p>
        </w:tc>
        <w:tc>
          <w:tcPr>
            <w:tcW w:w="944" w:type="dxa"/>
            <w:tcBorders>
              <w:top w:val="nil"/>
              <w:left w:val="nil"/>
              <w:bottom w:val="nil"/>
              <w:right w:val="nil"/>
            </w:tcBorders>
            <w:shd w:val="clear" w:color="000000" w:fill="E7E6E6"/>
            <w:noWrap/>
            <w:vAlign w:val="bottom"/>
            <w:hideMark/>
          </w:tcPr>
          <w:p w14:paraId="0D972519"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74</w:t>
            </w:r>
          </w:p>
        </w:tc>
        <w:tc>
          <w:tcPr>
            <w:tcW w:w="1234" w:type="dxa"/>
            <w:tcBorders>
              <w:top w:val="nil"/>
              <w:left w:val="nil"/>
              <w:bottom w:val="nil"/>
              <w:right w:val="nil"/>
            </w:tcBorders>
            <w:shd w:val="clear" w:color="000000" w:fill="E7E6E6"/>
            <w:noWrap/>
            <w:vAlign w:val="bottom"/>
            <w:hideMark/>
          </w:tcPr>
          <w:p w14:paraId="7A76EAAC"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1.01</w:t>
            </w:r>
          </w:p>
        </w:tc>
        <w:tc>
          <w:tcPr>
            <w:tcW w:w="1035" w:type="dxa"/>
            <w:tcBorders>
              <w:top w:val="nil"/>
              <w:left w:val="nil"/>
              <w:bottom w:val="nil"/>
              <w:right w:val="nil"/>
            </w:tcBorders>
            <w:shd w:val="clear" w:color="000000" w:fill="E7E6E6"/>
            <w:noWrap/>
            <w:vAlign w:val="bottom"/>
            <w:hideMark/>
          </w:tcPr>
          <w:p w14:paraId="3F15CA56"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28.4</w:t>
            </w:r>
          </w:p>
        </w:tc>
        <w:tc>
          <w:tcPr>
            <w:tcW w:w="1035" w:type="dxa"/>
            <w:tcBorders>
              <w:top w:val="nil"/>
              <w:left w:val="nil"/>
              <w:bottom w:val="nil"/>
              <w:right w:val="nil"/>
            </w:tcBorders>
            <w:shd w:val="clear" w:color="000000" w:fill="E7E6E6"/>
            <w:noWrap/>
            <w:vAlign w:val="bottom"/>
            <w:hideMark/>
          </w:tcPr>
          <w:p w14:paraId="420016D7"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9.5</w:t>
            </w:r>
          </w:p>
        </w:tc>
        <w:tc>
          <w:tcPr>
            <w:tcW w:w="872" w:type="dxa"/>
            <w:tcBorders>
              <w:top w:val="nil"/>
              <w:left w:val="nil"/>
              <w:bottom w:val="nil"/>
              <w:right w:val="nil"/>
            </w:tcBorders>
            <w:shd w:val="clear" w:color="000000" w:fill="E7E6E6"/>
            <w:noWrap/>
            <w:vAlign w:val="bottom"/>
            <w:hideMark/>
          </w:tcPr>
          <w:p w14:paraId="18790888"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28.4</w:t>
            </w:r>
          </w:p>
        </w:tc>
        <w:tc>
          <w:tcPr>
            <w:tcW w:w="1035" w:type="dxa"/>
            <w:tcBorders>
              <w:top w:val="nil"/>
              <w:left w:val="nil"/>
              <w:bottom w:val="nil"/>
              <w:right w:val="nil"/>
            </w:tcBorders>
            <w:shd w:val="clear" w:color="000000" w:fill="E7E6E6"/>
            <w:noWrap/>
            <w:vAlign w:val="bottom"/>
            <w:hideMark/>
          </w:tcPr>
          <w:p w14:paraId="7648F563"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13.5</w:t>
            </w:r>
          </w:p>
        </w:tc>
        <w:tc>
          <w:tcPr>
            <w:tcW w:w="1035" w:type="dxa"/>
            <w:tcBorders>
              <w:top w:val="nil"/>
              <w:left w:val="nil"/>
              <w:bottom w:val="nil"/>
              <w:right w:val="nil"/>
            </w:tcBorders>
            <w:shd w:val="clear" w:color="000000" w:fill="E7E6E6"/>
            <w:noWrap/>
            <w:vAlign w:val="bottom"/>
            <w:hideMark/>
          </w:tcPr>
          <w:p w14:paraId="67FAC8B4"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20.3</w:t>
            </w:r>
          </w:p>
        </w:tc>
      </w:tr>
    </w:tbl>
    <w:p w14:paraId="67A7277A" w14:textId="77777777" w:rsidR="007653D0" w:rsidRPr="0016235B" w:rsidRDefault="007653D0" w:rsidP="005722F2">
      <w:pPr>
        <w:pStyle w:val="ListParagraph"/>
        <w:numPr>
          <w:ilvl w:val="0"/>
          <w:numId w:val="33"/>
        </w:numPr>
        <w:rPr>
          <w:rFonts w:ascii="Candara" w:hAnsi="Candara"/>
        </w:rPr>
      </w:pPr>
      <w:r w:rsidRPr="0016235B">
        <w:rPr>
          <w:rFonts w:ascii="Candara" w:hAnsi="Candara"/>
        </w:rPr>
        <w:t>28.4% of the facilities had matching reporting figures.</w:t>
      </w:r>
    </w:p>
    <w:p w14:paraId="12A26417" w14:textId="77777777" w:rsidR="007653D0" w:rsidRPr="0016235B" w:rsidRDefault="007653D0" w:rsidP="005722F2">
      <w:pPr>
        <w:pStyle w:val="ListParagraph"/>
        <w:numPr>
          <w:ilvl w:val="0"/>
          <w:numId w:val="33"/>
        </w:numPr>
        <w:rPr>
          <w:rFonts w:ascii="Candara" w:hAnsi="Candara"/>
        </w:rPr>
      </w:pPr>
      <w:r w:rsidRPr="0016235B">
        <w:rPr>
          <w:rFonts w:ascii="Candara" w:hAnsi="Candara"/>
        </w:rPr>
        <w:t>37.9% of the facilities were over reporting while 33.8% were under reporting.</w:t>
      </w:r>
    </w:p>
    <w:p w14:paraId="7AE687FD" w14:textId="77777777" w:rsidR="007653D0" w:rsidRPr="0016235B" w:rsidRDefault="007653D0" w:rsidP="005722F2">
      <w:pPr>
        <w:pStyle w:val="ListParagraph"/>
        <w:numPr>
          <w:ilvl w:val="0"/>
          <w:numId w:val="33"/>
        </w:numPr>
        <w:rPr>
          <w:rFonts w:ascii="Candara" w:hAnsi="Candara"/>
        </w:rPr>
      </w:pPr>
      <w:r w:rsidRPr="0016235B">
        <w:rPr>
          <w:rFonts w:ascii="Candara" w:hAnsi="Candara"/>
        </w:rPr>
        <w:t>28.4% of the facilities were over reporting by over 10% and 20.3% under reporting by over 10%.</w:t>
      </w:r>
    </w:p>
    <w:p w14:paraId="78FBF99B" w14:textId="77777777" w:rsidR="007653D0" w:rsidRPr="0016235B" w:rsidRDefault="007653D0" w:rsidP="007653D0">
      <w:pPr>
        <w:jc w:val="both"/>
        <w:rPr>
          <w:rFonts w:ascii="Candara" w:hAnsi="Candara"/>
          <w:b/>
          <w:bCs/>
          <w:sz w:val="24"/>
          <w:szCs w:val="24"/>
        </w:rPr>
      </w:pPr>
    </w:p>
    <w:p w14:paraId="75A3A385" w14:textId="77777777" w:rsidR="007653D0" w:rsidRPr="0016235B" w:rsidRDefault="007653D0" w:rsidP="007653D0">
      <w:pPr>
        <w:jc w:val="both"/>
        <w:rPr>
          <w:rFonts w:ascii="Candara" w:hAnsi="Candara"/>
          <w:b/>
          <w:bCs/>
          <w:sz w:val="24"/>
          <w:szCs w:val="24"/>
        </w:rPr>
      </w:pPr>
    </w:p>
    <w:p w14:paraId="21C51B08" w14:textId="77777777" w:rsidR="007653D0" w:rsidRPr="0016235B" w:rsidRDefault="007653D0" w:rsidP="007653D0">
      <w:pPr>
        <w:jc w:val="both"/>
        <w:rPr>
          <w:rFonts w:ascii="Candara" w:hAnsi="Candara"/>
          <w:b/>
          <w:bCs/>
          <w:sz w:val="24"/>
          <w:szCs w:val="24"/>
        </w:rPr>
      </w:pPr>
    </w:p>
    <w:p w14:paraId="21AAC32C" w14:textId="77777777" w:rsidR="007653D0" w:rsidRPr="0016235B" w:rsidRDefault="007653D0" w:rsidP="007653D0">
      <w:pPr>
        <w:jc w:val="both"/>
        <w:rPr>
          <w:rFonts w:ascii="Candara" w:hAnsi="Candara"/>
          <w:b/>
          <w:bCs/>
          <w:sz w:val="24"/>
          <w:szCs w:val="24"/>
        </w:rPr>
      </w:pPr>
    </w:p>
    <w:p w14:paraId="2F0E2A7B" w14:textId="77777777" w:rsidR="007653D0" w:rsidRPr="0016235B" w:rsidRDefault="007653D0" w:rsidP="007653D0">
      <w:pPr>
        <w:jc w:val="both"/>
        <w:rPr>
          <w:rFonts w:ascii="Candara" w:hAnsi="Candara"/>
          <w:b/>
          <w:bCs/>
          <w:sz w:val="24"/>
          <w:szCs w:val="24"/>
        </w:rPr>
      </w:pPr>
    </w:p>
    <w:p w14:paraId="4D806CB3" w14:textId="77777777" w:rsidR="007653D0" w:rsidRPr="0016235B" w:rsidRDefault="007653D0" w:rsidP="007653D0">
      <w:pPr>
        <w:jc w:val="both"/>
        <w:rPr>
          <w:rFonts w:ascii="Candara" w:hAnsi="Candara"/>
          <w:b/>
          <w:bCs/>
          <w:sz w:val="24"/>
          <w:szCs w:val="24"/>
        </w:rPr>
      </w:pPr>
    </w:p>
    <w:p w14:paraId="52D6FBD3" w14:textId="77777777" w:rsidR="007653D0" w:rsidRPr="0016235B" w:rsidRDefault="007653D0" w:rsidP="007653D0">
      <w:pPr>
        <w:jc w:val="both"/>
        <w:rPr>
          <w:rFonts w:ascii="Candara" w:hAnsi="Candara"/>
          <w:b/>
          <w:bCs/>
          <w:sz w:val="24"/>
          <w:szCs w:val="24"/>
        </w:rPr>
      </w:pPr>
    </w:p>
    <w:p w14:paraId="1C879D9A" w14:textId="77777777" w:rsidR="007653D0" w:rsidRPr="0016235B" w:rsidRDefault="007653D0" w:rsidP="00B8030E">
      <w:pPr>
        <w:pStyle w:val="Heading3"/>
        <w:rPr>
          <w:rFonts w:ascii="Candara" w:hAnsi="Candara"/>
          <w:b/>
        </w:rPr>
      </w:pPr>
      <w:bookmarkStart w:id="65" w:name="_Toc11494070"/>
      <w:r w:rsidRPr="0016235B">
        <w:rPr>
          <w:rFonts w:ascii="Candara" w:hAnsi="Candara"/>
          <w:b/>
        </w:rPr>
        <w:t>4.214 Tuberculosis: TB cases</w:t>
      </w:r>
      <w:bookmarkEnd w:id="65"/>
    </w:p>
    <w:p w14:paraId="19B5EF85"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Figure xxx: Percentage of facilities reporting on TB services to national HMIS</w:t>
      </w:r>
    </w:p>
    <w:p w14:paraId="73B27B3C" w14:textId="77777777" w:rsidR="007653D0" w:rsidRPr="0016235B" w:rsidRDefault="007653D0" w:rsidP="007653D0">
      <w:pPr>
        <w:jc w:val="both"/>
        <w:rPr>
          <w:rFonts w:ascii="Candara" w:hAnsi="Candara"/>
          <w:b/>
          <w:bCs/>
          <w:sz w:val="24"/>
          <w:szCs w:val="24"/>
        </w:rPr>
      </w:pPr>
      <w:r w:rsidRPr="0016235B">
        <w:rPr>
          <w:rFonts w:ascii="Candara" w:hAnsi="Candara"/>
          <w:noProof/>
          <w:sz w:val="24"/>
          <w:szCs w:val="24"/>
        </w:rPr>
        <w:drawing>
          <wp:inline distT="0" distB="0" distL="0" distR="0" wp14:anchorId="6936B628" wp14:editId="72F7147D">
            <wp:extent cx="5943600" cy="2165350"/>
            <wp:effectExtent l="0" t="0" r="0" b="6350"/>
            <wp:docPr id="35" name="Chart 35">
              <a:extLst xmlns:a="http://schemas.openxmlformats.org/drawingml/2006/main">
                <a:ext uri="{FF2B5EF4-FFF2-40B4-BE49-F238E27FC236}">
                  <a16:creationId xmlns:a16="http://schemas.microsoft.com/office/drawing/2014/main" id="{DDB65250-F9D4-4E78-B1A3-354D581AA3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212E964C"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Generally, 93% of facilities reported on TB services to national HMIS while 17% of general hospitals and 50% of HCIIs had not.</w:t>
      </w:r>
    </w:p>
    <w:p w14:paraId="1348B1DC"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There is no significant difference between the reporting rates of facilities in urban (95%) and rural (91%).</w:t>
      </w:r>
    </w:p>
    <w:p w14:paraId="66DC0D00"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xxx: Availability of TB source documents and reporting forms</w:t>
      </w:r>
    </w:p>
    <w:p w14:paraId="22EBAF2A" w14:textId="77777777" w:rsidR="007653D0" w:rsidRPr="0016235B" w:rsidRDefault="007653D0" w:rsidP="007653D0">
      <w:pPr>
        <w:jc w:val="both"/>
        <w:rPr>
          <w:rFonts w:ascii="Candara" w:hAnsi="Candara"/>
          <w:sz w:val="24"/>
          <w:szCs w:val="24"/>
        </w:rPr>
      </w:pPr>
      <w:r w:rsidRPr="0016235B">
        <w:rPr>
          <w:rFonts w:ascii="Candara" w:hAnsi="Candara"/>
          <w:noProof/>
          <w:sz w:val="24"/>
          <w:szCs w:val="24"/>
        </w:rPr>
        <w:drawing>
          <wp:inline distT="0" distB="0" distL="0" distR="0" wp14:anchorId="0BD9F833" wp14:editId="44136883">
            <wp:extent cx="5943600" cy="2890520"/>
            <wp:effectExtent l="0" t="0" r="0" b="5080"/>
            <wp:docPr id="10" name="Chart 10">
              <a:extLst xmlns:a="http://schemas.openxmlformats.org/drawingml/2006/main">
                <a:ext uri="{FF2B5EF4-FFF2-40B4-BE49-F238E27FC236}">
                  <a16:creationId xmlns:a16="http://schemas.microsoft.com/office/drawing/2014/main" id="{5090CD92-AF9E-4A3E-9FB9-729C068E62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46ABA2E4"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Generally, 100% of the facilities had source documents available irrespective of level, managing authority and location. However, the reporting documents were not available in all except for the HCIVs and HCIIs.</w:t>
      </w:r>
    </w:p>
    <w:p w14:paraId="4194ED5A"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30% of national referral hospitals did not have reporting documents.</w:t>
      </w:r>
    </w:p>
    <w:p w14:paraId="09627E73" w14:textId="77777777" w:rsidR="007653D0" w:rsidRPr="0016235B" w:rsidRDefault="007653D0" w:rsidP="005722F2">
      <w:pPr>
        <w:pStyle w:val="ListParagraph"/>
        <w:numPr>
          <w:ilvl w:val="0"/>
          <w:numId w:val="31"/>
        </w:numPr>
        <w:jc w:val="both"/>
        <w:rPr>
          <w:rFonts w:ascii="Candara" w:hAnsi="Candara"/>
          <w:bCs/>
          <w:sz w:val="24"/>
          <w:szCs w:val="24"/>
        </w:rPr>
      </w:pPr>
      <w:r w:rsidRPr="0016235B">
        <w:rPr>
          <w:rFonts w:ascii="Candara" w:hAnsi="Candara"/>
          <w:bCs/>
          <w:sz w:val="24"/>
          <w:szCs w:val="24"/>
        </w:rPr>
        <w:t>Reporting documents were more available in public facilities than private.</w:t>
      </w:r>
    </w:p>
    <w:p w14:paraId="2299B2B5" w14:textId="77777777" w:rsidR="007653D0" w:rsidRPr="0016235B" w:rsidRDefault="007653D0" w:rsidP="007653D0">
      <w:pPr>
        <w:spacing w:after="0" w:line="240" w:lineRule="auto"/>
        <w:rPr>
          <w:rFonts w:ascii="Candara" w:eastAsia="Times New Roman" w:hAnsi="Candara" w:cs="Calibri"/>
          <w:b/>
          <w:bCs/>
          <w:color w:val="000000"/>
          <w:sz w:val="28"/>
          <w:szCs w:val="28"/>
        </w:rPr>
      </w:pPr>
      <w:r w:rsidRPr="0016235B">
        <w:rPr>
          <w:rFonts w:ascii="Candara" w:eastAsia="Times New Roman" w:hAnsi="Candara" w:cs="Calibri"/>
          <w:b/>
          <w:bCs/>
          <w:color w:val="000000"/>
          <w:sz w:val="28"/>
          <w:szCs w:val="28"/>
        </w:rPr>
        <w:t xml:space="preserve">Verification factor (ratio) for TB by key stratifying variables </w:t>
      </w:r>
    </w:p>
    <w:tbl>
      <w:tblPr>
        <w:tblW w:w="9356" w:type="dxa"/>
        <w:tblLook w:val="04A0" w:firstRow="1" w:lastRow="0" w:firstColumn="1" w:lastColumn="0" w:noHBand="0" w:noVBand="1"/>
      </w:tblPr>
      <w:tblGrid>
        <w:gridCol w:w="2260"/>
        <w:gridCol w:w="977"/>
        <w:gridCol w:w="960"/>
        <w:gridCol w:w="1095"/>
        <w:gridCol w:w="1095"/>
        <w:gridCol w:w="960"/>
        <w:gridCol w:w="1095"/>
        <w:gridCol w:w="1095"/>
      </w:tblGrid>
      <w:tr w:rsidR="007653D0" w:rsidRPr="0016235B" w14:paraId="42390568" w14:textId="77777777" w:rsidTr="007653D0">
        <w:trPr>
          <w:trHeight w:val="1500"/>
        </w:trPr>
        <w:tc>
          <w:tcPr>
            <w:tcW w:w="2260" w:type="dxa"/>
            <w:tcBorders>
              <w:top w:val="nil"/>
              <w:left w:val="nil"/>
              <w:bottom w:val="nil"/>
              <w:right w:val="nil"/>
            </w:tcBorders>
            <w:shd w:val="clear" w:color="000000" w:fill="E7E6E6"/>
            <w:noWrap/>
            <w:vAlign w:val="bottom"/>
            <w:hideMark/>
          </w:tcPr>
          <w:p w14:paraId="7D6994AE"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Level</w:t>
            </w:r>
          </w:p>
        </w:tc>
        <w:tc>
          <w:tcPr>
            <w:tcW w:w="960" w:type="dxa"/>
            <w:tcBorders>
              <w:top w:val="nil"/>
              <w:left w:val="nil"/>
              <w:bottom w:val="nil"/>
              <w:right w:val="nil"/>
            </w:tcBorders>
            <w:shd w:val="clear" w:color="000000" w:fill="E7E6E6"/>
            <w:vAlign w:val="bottom"/>
            <w:hideMark/>
          </w:tcPr>
          <w:p w14:paraId="5679C9A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Number of facilities</w:t>
            </w:r>
          </w:p>
        </w:tc>
        <w:tc>
          <w:tcPr>
            <w:tcW w:w="960" w:type="dxa"/>
            <w:tcBorders>
              <w:top w:val="nil"/>
              <w:left w:val="nil"/>
              <w:bottom w:val="nil"/>
              <w:right w:val="nil"/>
            </w:tcBorders>
            <w:shd w:val="clear" w:color="000000" w:fill="E7E6E6"/>
            <w:noWrap/>
            <w:vAlign w:val="bottom"/>
            <w:hideMark/>
          </w:tcPr>
          <w:p w14:paraId="1938E70E" w14:textId="77777777" w:rsidR="007653D0" w:rsidRPr="0016235B" w:rsidRDefault="007653D0" w:rsidP="007653D0">
            <w:pPr>
              <w:spacing w:after="0" w:line="240" w:lineRule="auto"/>
              <w:jc w:val="right"/>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TB</w:t>
            </w:r>
          </w:p>
        </w:tc>
        <w:tc>
          <w:tcPr>
            <w:tcW w:w="1054" w:type="dxa"/>
            <w:tcBorders>
              <w:top w:val="nil"/>
              <w:left w:val="nil"/>
              <w:bottom w:val="nil"/>
              <w:right w:val="nil"/>
            </w:tcBorders>
            <w:shd w:val="clear" w:color="000000" w:fill="E7E6E6"/>
            <w:vAlign w:val="bottom"/>
            <w:hideMark/>
          </w:tcPr>
          <w:p w14:paraId="3704B51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&gt;10% over reporting</w:t>
            </w:r>
          </w:p>
        </w:tc>
        <w:tc>
          <w:tcPr>
            <w:tcW w:w="1054" w:type="dxa"/>
            <w:tcBorders>
              <w:top w:val="nil"/>
              <w:left w:val="nil"/>
              <w:bottom w:val="nil"/>
              <w:right w:val="nil"/>
            </w:tcBorders>
            <w:shd w:val="clear" w:color="000000" w:fill="E7E6E6"/>
            <w:vAlign w:val="bottom"/>
            <w:hideMark/>
          </w:tcPr>
          <w:p w14:paraId="4AA40540" w14:textId="23A0EAE3"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Up</w:t>
            </w:r>
            <w:r w:rsidR="00855812" w:rsidRPr="0016235B">
              <w:rPr>
                <w:rFonts w:ascii="Candara" w:eastAsia="Times New Roman" w:hAnsi="Candara" w:cs="Calibri"/>
                <w:color w:val="000000"/>
              </w:rPr>
              <w:t xml:space="preserve"> </w:t>
            </w:r>
            <w:r w:rsidRPr="0016235B">
              <w:rPr>
                <w:rFonts w:ascii="Candara" w:eastAsia="Times New Roman" w:hAnsi="Candara" w:cs="Calibri"/>
                <w:color w:val="000000"/>
              </w:rPr>
              <w:t>to 10% over reporting</w:t>
            </w:r>
          </w:p>
        </w:tc>
        <w:tc>
          <w:tcPr>
            <w:tcW w:w="960" w:type="dxa"/>
            <w:tcBorders>
              <w:top w:val="nil"/>
              <w:left w:val="nil"/>
              <w:bottom w:val="nil"/>
              <w:right w:val="nil"/>
            </w:tcBorders>
            <w:shd w:val="clear" w:color="000000" w:fill="E7E6E6"/>
            <w:vAlign w:val="bottom"/>
            <w:hideMark/>
          </w:tcPr>
          <w:p w14:paraId="116A568C"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Match</w:t>
            </w:r>
          </w:p>
        </w:tc>
        <w:tc>
          <w:tcPr>
            <w:tcW w:w="1054" w:type="dxa"/>
            <w:tcBorders>
              <w:top w:val="nil"/>
              <w:left w:val="nil"/>
              <w:bottom w:val="nil"/>
              <w:right w:val="nil"/>
            </w:tcBorders>
            <w:shd w:val="clear" w:color="000000" w:fill="E7E6E6"/>
            <w:vAlign w:val="bottom"/>
            <w:hideMark/>
          </w:tcPr>
          <w:p w14:paraId="3786FAB9" w14:textId="6F5FD80F"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Up</w:t>
            </w:r>
            <w:r w:rsidR="00855812" w:rsidRPr="0016235B">
              <w:rPr>
                <w:rFonts w:ascii="Candara" w:eastAsia="Times New Roman" w:hAnsi="Candara" w:cs="Calibri"/>
                <w:color w:val="000000"/>
              </w:rPr>
              <w:t xml:space="preserve"> </w:t>
            </w:r>
            <w:r w:rsidRPr="0016235B">
              <w:rPr>
                <w:rFonts w:ascii="Candara" w:eastAsia="Times New Roman" w:hAnsi="Candara" w:cs="Calibri"/>
                <w:color w:val="000000"/>
              </w:rPr>
              <w:t>to 10% under reporting</w:t>
            </w:r>
          </w:p>
        </w:tc>
        <w:tc>
          <w:tcPr>
            <w:tcW w:w="1054" w:type="dxa"/>
            <w:tcBorders>
              <w:top w:val="nil"/>
              <w:left w:val="nil"/>
              <w:bottom w:val="nil"/>
              <w:right w:val="nil"/>
            </w:tcBorders>
            <w:shd w:val="clear" w:color="000000" w:fill="E7E6E6"/>
            <w:vAlign w:val="bottom"/>
            <w:hideMark/>
          </w:tcPr>
          <w:p w14:paraId="504D5815"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&gt;10% under reporting</w:t>
            </w:r>
          </w:p>
        </w:tc>
      </w:tr>
      <w:tr w:rsidR="007653D0" w:rsidRPr="0016235B" w14:paraId="69858082" w14:textId="77777777" w:rsidTr="007653D0">
        <w:trPr>
          <w:trHeight w:val="300"/>
        </w:trPr>
        <w:tc>
          <w:tcPr>
            <w:tcW w:w="2260" w:type="dxa"/>
            <w:tcBorders>
              <w:top w:val="nil"/>
              <w:left w:val="nil"/>
              <w:bottom w:val="nil"/>
              <w:right w:val="nil"/>
            </w:tcBorders>
            <w:shd w:val="clear" w:color="auto" w:fill="auto"/>
            <w:noWrap/>
            <w:vAlign w:val="bottom"/>
            <w:hideMark/>
          </w:tcPr>
          <w:p w14:paraId="20913037"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Regional Hospital</w:t>
            </w:r>
          </w:p>
        </w:tc>
        <w:tc>
          <w:tcPr>
            <w:tcW w:w="960" w:type="dxa"/>
            <w:tcBorders>
              <w:top w:val="nil"/>
              <w:left w:val="nil"/>
              <w:bottom w:val="nil"/>
              <w:right w:val="nil"/>
            </w:tcBorders>
            <w:shd w:val="clear" w:color="auto" w:fill="auto"/>
            <w:noWrap/>
            <w:vAlign w:val="bottom"/>
            <w:hideMark/>
          </w:tcPr>
          <w:p w14:paraId="7CF361C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w:t>
            </w:r>
          </w:p>
        </w:tc>
        <w:tc>
          <w:tcPr>
            <w:tcW w:w="960" w:type="dxa"/>
            <w:tcBorders>
              <w:top w:val="nil"/>
              <w:left w:val="nil"/>
              <w:bottom w:val="nil"/>
              <w:right w:val="nil"/>
            </w:tcBorders>
            <w:shd w:val="clear" w:color="auto" w:fill="auto"/>
            <w:noWrap/>
            <w:vAlign w:val="bottom"/>
            <w:hideMark/>
          </w:tcPr>
          <w:p w14:paraId="1FFA16A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0.87</w:t>
            </w:r>
          </w:p>
        </w:tc>
        <w:tc>
          <w:tcPr>
            <w:tcW w:w="1054" w:type="dxa"/>
            <w:tcBorders>
              <w:top w:val="nil"/>
              <w:left w:val="nil"/>
              <w:bottom w:val="nil"/>
              <w:right w:val="nil"/>
            </w:tcBorders>
            <w:shd w:val="clear" w:color="auto" w:fill="auto"/>
            <w:noWrap/>
            <w:vAlign w:val="bottom"/>
            <w:hideMark/>
          </w:tcPr>
          <w:p w14:paraId="58441A7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54" w:type="dxa"/>
            <w:tcBorders>
              <w:top w:val="nil"/>
              <w:left w:val="nil"/>
              <w:bottom w:val="nil"/>
              <w:right w:val="nil"/>
            </w:tcBorders>
            <w:shd w:val="clear" w:color="auto" w:fill="auto"/>
            <w:noWrap/>
            <w:vAlign w:val="bottom"/>
            <w:hideMark/>
          </w:tcPr>
          <w:p w14:paraId="47B78B7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57.1</w:t>
            </w:r>
          </w:p>
        </w:tc>
        <w:tc>
          <w:tcPr>
            <w:tcW w:w="960" w:type="dxa"/>
            <w:tcBorders>
              <w:top w:val="nil"/>
              <w:left w:val="nil"/>
              <w:bottom w:val="nil"/>
              <w:right w:val="nil"/>
            </w:tcBorders>
            <w:shd w:val="clear" w:color="auto" w:fill="auto"/>
            <w:noWrap/>
            <w:vAlign w:val="bottom"/>
            <w:hideMark/>
          </w:tcPr>
          <w:p w14:paraId="676D237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60F6C65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54" w:type="dxa"/>
            <w:tcBorders>
              <w:top w:val="nil"/>
              <w:left w:val="nil"/>
              <w:bottom w:val="nil"/>
              <w:right w:val="nil"/>
            </w:tcBorders>
            <w:shd w:val="clear" w:color="auto" w:fill="auto"/>
            <w:noWrap/>
            <w:vAlign w:val="bottom"/>
            <w:hideMark/>
          </w:tcPr>
          <w:p w14:paraId="76244C0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r>
      <w:tr w:rsidR="007653D0" w:rsidRPr="0016235B" w14:paraId="5FB2023C" w14:textId="77777777" w:rsidTr="007653D0">
        <w:trPr>
          <w:trHeight w:val="300"/>
        </w:trPr>
        <w:tc>
          <w:tcPr>
            <w:tcW w:w="2260" w:type="dxa"/>
            <w:tcBorders>
              <w:top w:val="nil"/>
              <w:left w:val="nil"/>
              <w:bottom w:val="nil"/>
              <w:right w:val="nil"/>
            </w:tcBorders>
            <w:shd w:val="clear" w:color="auto" w:fill="auto"/>
            <w:noWrap/>
            <w:vAlign w:val="bottom"/>
            <w:hideMark/>
          </w:tcPr>
          <w:p w14:paraId="419FDEA8"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General Hospital</w:t>
            </w:r>
          </w:p>
        </w:tc>
        <w:tc>
          <w:tcPr>
            <w:tcW w:w="960" w:type="dxa"/>
            <w:tcBorders>
              <w:top w:val="nil"/>
              <w:left w:val="nil"/>
              <w:bottom w:val="nil"/>
              <w:right w:val="nil"/>
            </w:tcBorders>
            <w:shd w:val="clear" w:color="auto" w:fill="auto"/>
            <w:noWrap/>
            <w:vAlign w:val="bottom"/>
            <w:hideMark/>
          </w:tcPr>
          <w:p w14:paraId="2D2DAE4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w:t>
            </w:r>
          </w:p>
        </w:tc>
        <w:tc>
          <w:tcPr>
            <w:tcW w:w="960" w:type="dxa"/>
            <w:tcBorders>
              <w:top w:val="nil"/>
              <w:left w:val="nil"/>
              <w:bottom w:val="nil"/>
              <w:right w:val="nil"/>
            </w:tcBorders>
            <w:shd w:val="clear" w:color="auto" w:fill="auto"/>
            <w:noWrap/>
            <w:vAlign w:val="bottom"/>
            <w:hideMark/>
          </w:tcPr>
          <w:p w14:paraId="4C84563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0.90</w:t>
            </w:r>
          </w:p>
        </w:tc>
        <w:tc>
          <w:tcPr>
            <w:tcW w:w="1054" w:type="dxa"/>
            <w:tcBorders>
              <w:top w:val="nil"/>
              <w:left w:val="nil"/>
              <w:bottom w:val="nil"/>
              <w:right w:val="nil"/>
            </w:tcBorders>
            <w:shd w:val="clear" w:color="auto" w:fill="auto"/>
            <w:noWrap/>
            <w:vAlign w:val="bottom"/>
            <w:hideMark/>
          </w:tcPr>
          <w:p w14:paraId="0BECC6E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54" w:type="dxa"/>
            <w:tcBorders>
              <w:top w:val="nil"/>
              <w:left w:val="nil"/>
              <w:bottom w:val="nil"/>
              <w:right w:val="nil"/>
            </w:tcBorders>
            <w:shd w:val="clear" w:color="auto" w:fill="auto"/>
            <w:noWrap/>
            <w:vAlign w:val="bottom"/>
            <w:hideMark/>
          </w:tcPr>
          <w:p w14:paraId="1596C7D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8.3</w:t>
            </w:r>
          </w:p>
        </w:tc>
        <w:tc>
          <w:tcPr>
            <w:tcW w:w="960" w:type="dxa"/>
            <w:tcBorders>
              <w:top w:val="nil"/>
              <w:left w:val="nil"/>
              <w:bottom w:val="nil"/>
              <w:right w:val="nil"/>
            </w:tcBorders>
            <w:shd w:val="clear" w:color="auto" w:fill="auto"/>
            <w:noWrap/>
            <w:vAlign w:val="bottom"/>
            <w:hideMark/>
          </w:tcPr>
          <w:p w14:paraId="547C25C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1054" w:type="dxa"/>
            <w:tcBorders>
              <w:top w:val="nil"/>
              <w:left w:val="nil"/>
              <w:bottom w:val="nil"/>
              <w:right w:val="nil"/>
            </w:tcBorders>
            <w:shd w:val="clear" w:color="auto" w:fill="auto"/>
            <w:noWrap/>
            <w:vAlign w:val="bottom"/>
            <w:hideMark/>
          </w:tcPr>
          <w:p w14:paraId="39C1BAA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054" w:type="dxa"/>
            <w:tcBorders>
              <w:top w:val="nil"/>
              <w:left w:val="nil"/>
              <w:bottom w:val="nil"/>
              <w:right w:val="nil"/>
            </w:tcBorders>
            <w:shd w:val="clear" w:color="auto" w:fill="auto"/>
            <w:noWrap/>
            <w:vAlign w:val="bottom"/>
            <w:hideMark/>
          </w:tcPr>
          <w:p w14:paraId="58235CF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r>
      <w:tr w:rsidR="007653D0" w:rsidRPr="0016235B" w14:paraId="2B55D5A6" w14:textId="77777777" w:rsidTr="007653D0">
        <w:trPr>
          <w:trHeight w:val="300"/>
        </w:trPr>
        <w:tc>
          <w:tcPr>
            <w:tcW w:w="2260" w:type="dxa"/>
            <w:tcBorders>
              <w:top w:val="nil"/>
              <w:left w:val="nil"/>
              <w:bottom w:val="nil"/>
              <w:right w:val="nil"/>
            </w:tcBorders>
            <w:shd w:val="clear" w:color="auto" w:fill="auto"/>
            <w:noWrap/>
            <w:vAlign w:val="bottom"/>
            <w:hideMark/>
          </w:tcPr>
          <w:p w14:paraId="4B0CB2D4"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IV</w:t>
            </w:r>
          </w:p>
        </w:tc>
        <w:tc>
          <w:tcPr>
            <w:tcW w:w="960" w:type="dxa"/>
            <w:tcBorders>
              <w:top w:val="nil"/>
              <w:left w:val="nil"/>
              <w:bottom w:val="nil"/>
              <w:right w:val="nil"/>
            </w:tcBorders>
            <w:shd w:val="clear" w:color="auto" w:fill="auto"/>
            <w:noWrap/>
            <w:vAlign w:val="bottom"/>
            <w:hideMark/>
          </w:tcPr>
          <w:p w14:paraId="4135529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w:t>
            </w:r>
          </w:p>
        </w:tc>
        <w:tc>
          <w:tcPr>
            <w:tcW w:w="960" w:type="dxa"/>
            <w:tcBorders>
              <w:top w:val="nil"/>
              <w:left w:val="nil"/>
              <w:bottom w:val="nil"/>
              <w:right w:val="nil"/>
            </w:tcBorders>
            <w:shd w:val="clear" w:color="auto" w:fill="auto"/>
            <w:noWrap/>
            <w:vAlign w:val="bottom"/>
            <w:hideMark/>
          </w:tcPr>
          <w:p w14:paraId="35AE7A6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0.76</w:t>
            </w:r>
          </w:p>
        </w:tc>
        <w:tc>
          <w:tcPr>
            <w:tcW w:w="1054" w:type="dxa"/>
            <w:tcBorders>
              <w:top w:val="nil"/>
              <w:left w:val="nil"/>
              <w:bottom w:val="nil"/>
              <w:right w:val="nil"/>
            </w:tcBorders>
            <w:shd w:val="clear" w:color="auto" w:fill="auto"/>
            <w:noWrap/>
            <w:vAlign w:val="bottom"/>
            <w:hideMark/>
          </w:tcPr>
          <w:p w14:paraId="019B359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43.5</w:t>
            </w:r>
          </w:p>
        </w:tc>
        <w:tc>
          <w:tcPr>
            <w:tcW w:w="1054" w:type="dxa"/>
            <w:tcBorders>
              <w:top w:val="nil"/>
              <w:left w:val="nil"/>
              <w:bottom w:val="nil"/>
              <w:right w:val="nil"/>
            </w:tcBorders>
            <w:shd w:val="clear" w:color="auto" w:fill="auto"/>
            <w:noWrap/>
            <w:vAlign w:val="bottom"/>
            <w:hideMark/>
          </w:tcPr>
          <w:p w14:paraId="3A647A3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4.4</w:t>
            </w:r>
          </w:p>
        </w:tc>
        <w:tc>
          <w:tcPr>
            <w:tcW w:w="960" w:type="dxa"/>
            <w:tcBorders>
              <w:top w:val="nil"/>
              <w:left w:val="nil"/>
              <w:bottom w:val="nil"/>
              <w:right w:val="nil"/>
            </w:tcBorders>
            <w:shd w:val="clear" w:color="auto" w:fill="auto"/>
            <w:noWrap/>
            <w:vAlign w:val="bottom"/>
            <w:hideMark/>
          </w:tcPr>
          <w:p w14:paraId="3BB2447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34.8</w:t>
            </w:r>
          </w:p>
        </w:tc>
        <w:tc>
          <w:tcPr>
            <w:tcW w:w="1054" w:type="dxa"/>
            <w:tcBorders>
              <w:top w:val="nil"/>
              <w:left w:val="nil"/>
              <w:bottom w:val="nil"/>
              <w:right w:val="nil"/>
            </w:tcBorders>
            <w:shd w:val="clear" w:color="auto" w:fill="auto"/>
            <w:noWrap/>
            <w:vAlign w:val="bottom"/>
            <w:hideMark/>
          </w:tcPr>
          <w:p w14:paraId="40F9410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8.7</w:t>
            </w:r>
          </w:p>
        </w:tc>
        <w:tc>
          <w:tcPr>
            <w:tcW w:w="1054" w:type="dxa"/>
            <w:tcBorders>
              <w:top w:val="nil"/>
              <w:left w:val="nil"/>
              <w:bottom w:val="nil"/>
              <w:right w:val="nil"/>
            </w:tcBorders>
            <w:shd w:val="clear" w:color="auto" w:fill="auto"/>
            <w:noWrap/>
            <w:vAlign w:val="bottom"/>
            <w:hideMark/>
          </w:tcPr>
          <w:p w14:paraId="354175E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8.7</w:t>
            </w:r>
          </w:p>
        </w:tc>
      </w:tr>
      <w:tr w:rsidR="007653D0" w:rsidRPr="0016235B" w14:paraId="1B8A0ECE" w14:textId="77777777" w:rsidTr="007653D0">
        <w:trPr>
          <w:trHeight w:val="300"/>
        </w:trPr>
        <w:tc>
          <w:tcPr>
            <w:tcW w:w="2260" w:type="dxa"/>
            <w:tcBorders>
              <w:top w:val="nil"/>
              <w:left w:val="nil"/>
              <w:bottom w:val="nil"/>
              <w:right w:val="nil"/>
            </w:tcBorders>
            <w:shd w:val="clear" w:color="auto" w:fill="auto"/>
            <w:noWrap/>
            <w:vAlign w:val="bottom"/>
            <w:hideMark/>
          </w:tcPr>
          <w:p w14:paraId="16F1FEE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III</w:t>
            </w:r>
          </w:p>
        </w:tc>
        <w:tc>
          <w:tcPr>
            <w:tcW w:w="960" w:type="dxa"/>
            <w:tcBorders>
              <w:top w:val="nil"/>
              <w:left w:val="nil"/>
              <w:bottom w:val="nil"/>
              <w:right w:val="nil"/>
            </w:tcBorders>
            <w:shd w:val="clear" w:color="auto" w:fill="auto"/>
            <w:noWrap/>
            <w:vAlign w:val="bottom"/>
            <w:hideMark/>
          </w:tcPr>
          <w:p w14:paraId="5CCC7CD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w:t>
            </w:r>
          </w:p>
        </w:tc>
        <w:tc>
          <w:tcPr>
            <w:tcW w:w="960" w:type="dxa"/>
            <w:tcBorders>
              <w:top w:val="nil"/>
              <w:left w:val="nil"/>
              <w:bottom w:val="nil"/>
              <w:right w:val="nil"/>
            </w:tcBorders>
            <w:shd w:val="clear" w:color="auto" w:fill="auto"/>
            <w:noWrap/>
            <w:vAlign w:val="bottom"/>
            <w:hideMark/>
          </w:tcPr>
          <w:p w14:paraId="2BDF3D2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0.75</w:t>
            </w:r>
          </w:p>
        </w:tc>
        <w:tc>
          <w:tcPr>
            <w:tcW w:w="1054" w:type="dxa"/>
            <w:tcBorders>
              <w:top w:val="nil"/>
              <w:left w:val="nil"/>
              <w:bottom w:val="nil"/>
              <w:right w:val="nil"/>
            </w:tcBorders>
            <w:shd w:val="clear" w:color="auto" w:fill="auto"/>
            <w:noWrap/>
            <w:vAlign w:val="bottom"/>
            <w:hideMark/>
          </w:tcPr>
          <w:p w14:paraId="2E398EE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1054" w:type="dxa"/>
            <w:tcBorders>
              <w:top w:val="nil"/>
              <w:left w:val="nil"/>
              <w:bottom w:val="nil"/>
              <w:right w:val="nil"/>
            </w:tcBorders>
            <w:shd w:val="clear" w:color="auto" w:fill="auto"/>
            <w:noWrap/>
            <w:vAlign w:val="bottom"/>
            <w:hideMark/>
          </w:tcPr>
          <w:p w14:paraId="712B30C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20FBBA8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66.7</w:t>
            </w:r>
          </w:p>
        </w:tc>
        <w:tc>
          <w:tcPr>
            <w:tcW w:w="1054" w:type="dxa"/>
            <w:tcBorders>
              <w:top w:val="nil"/>
              <w:left w:val="nil"/>
              <w:bottom w:val="nil"/>
              <w:right w:val="nil"/>
            </w:tcBorders>
            <w:shd w:val="clear" w:color="auto" w:fill="auto"/>
            <w:noWrap/>
            <w:vAlign w:val="bottom"/>
            <w:hideMark/>
          </w:tcPr>
          <w:p w14:paraId="742FC4B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679A0A4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3D37CE0D" w14:textId="77777777" w:rsidTr="007653D0">
        <w:trPr>
          <w:trHeight w:val="300"/>
        </w:trPr>
        <w:tc>
          <w:tcPr>
            <w:tcW w:w="2260" w:type="dxa"/>
            <w:tcBorders>
              <w:top w:val="nil"/>
              <w:left w:val="nil"/>
              <w:bottom w:val="nil"/>
              <w:right w:val="nil"/>
            </w:tcBorders>
            <w:shd w:val="clear" w:color="auto" w:fill="auto"/>
            <w:noWrap/>
            <w:vAlign w:val="bottom"/>
            <w:hideMark/>
          </w:tcPr>
          <w:p w14:paraId="1A66BEB8"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w:t>
            </w:r>
          </w:p>
        </w:tc>
        <w:tc>
          <w:tcPr>
            <w:tcW w:w="960" w:type="dxa"/>
            <w:tcBorders>
              <w:top w:val="nil"/>
              <w:left w:val="nil"/>
              <w:bottom w:val="nil"/>
              <w:right w:val="nil"/>
            </w:tcBorders>
            <w:shd w:val="clear" w:color="auto" w:fill="auto"/>
            <w:noWrap/>
            <w:vAlign w:val="bottom"/>
            <w:hideMark/>
          </w:tcPr>
          <w:p w14:paraId="72AF501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w:t>
            </w:r>
          </w:p>
        </w:tc>
        <w:tc>
          <w:tcPr>
            <w:tcW w:w="960" w:type="dxa"/>
            <w:tcBorders>
              <w:top w:val="nil"/>
              <w:left w:val="nil"/>
              <w:bottom w:val="nil"/>
              <w:right w:val="nil"/>
            </w:tcBorders>
            <w:shd w:val="clear" w:color="auto" w:fill="auto"/>
            <w:noWrap/>
            <w:vAlign w:val="bottom"/>
            <w:hideMark/>
          </w:tcPr>
          <w:p w14:paraId="4A9F70F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1054" w:type="dxa"/>
            <w:tcBorders>
              <w:top w:val="nil"/>
              <w:left w:val="nil"/>
              <w:bottom w:val="nil"/>
              <w:right w:val="nil"/>
            </w:tcBorders>
            <w:shd w:val="clear" w:color="auto" w:fill="auto"/>
            <w:noWrap/>
            <w:vAlign w:val="bottom"/>
            <w:hideMark/>
          </w:tcPr>
          <w:p w14:paraId="61BEB1C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6BB7735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77D0AC1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100.0</w:t>
            </w:r>
          </w:p>
        </w:tc>
        <w:tc>
          <w:tcPr>
            <w:tcW w:w="1054" w:type="dxa"/>
            <w:tcBorders>
              <w:top w:val="nil"/>
              <w:left w:val="nil"/>
              <w:bottom w:val="nil"/>
              <w:right w:val="nil"/>
            </w:tcBorders>
            <w:shd w:val="clear" w:color="auto" w:fill="auto"/>
            <w:noWrap/>
            <w:vAlign w:val="bottom"/>
            <w:hideMark/>
          </w:tcPr>
          <w:p w14:paraId="1B66E65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559E83E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4393E320" w14:textId="77777777" w:rsidTr="007653D0">
        <w:trPr>
          <w:trHeight w:val="300"/>
        </w:trPr>
        <w:tc>
          <w:tcPr>
            <w:tcW w:w="2260" w:type="dxa"/>
            <w:tcBorders>
              <w:top w:val="nil"/>
              <w:left w:val="nil"/>
              <w:bottom w:val="nil"/>
              <w:right w:val="nil"/>
            </w:tcBorders>
            <w:shd w:val="clear" w:color="000000" w:fill="E7E6E6"/>
            <w:noWrap/>
            <w:vAlign w:val="bottom"/>
            <w:hideMark/>
          </w:tcPr>
          <w:p w14:paraId="20E88FFB"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Managing Authority</w:t>
            </w:r>
          </w:p>
        </w:tc>
        <w:tc>
          <w:tcPr>
            <w:tcW w:w="960" w:type="dxa"/>
            <w:tcBorders>
              <w:top w:val="nil"/>
              <w:left w:val="nil"/>
              <w:bottom w:val="nil"/>
              <w:right w:val="nil"/>
            </w:tcBorders>
            <w:shd w:val="clear" w:color="000000" w:fill="E7E6E6"/>
            <w:noWrap/>
            <w:vAlign w:val="bottom"/>
            <w:hideMark/>
          </w:tcPr>
          <w:p w14:paraId="14E8600F"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31B9EB0E"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54" w:type="dxa"/>
            <w:tcBorders>
              <w:top w:val="nil"/>
              <w:left w:val="nil"/>
              <w:bottom w:val="nil"/>
              <w:right w:val="nil"/>
            </w:tcBorders>
            <w:shd w:val="clear" w:color="000000" w:fill="E7E6E6"/>
            <w:noWrap/>
            <w:vAlign w:val="bottom"/>
            <w:hideMark/>
          </w:tcPr>
          <w:p w14:paraId="447B362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45D852C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16EB6386"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5F55C20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78006E49"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033043F0" w14:textId="77777777" w:rsidTr="007653D0">
        <w:trPr>
          <w:trHeight w:val="300"/>
        </w:trPr>
        <w:tc>
          <w:tcPr>
            <w:tcW w:w="2260" w:type="dxa"/>
            <w:tcBorders>
              <w:top w:val="nil"/>
              <w:left w:val="nil"/>
              <w:bottom w:val="nil"/>
              <w:right w:val="nil"/>
            </w:tcBorders>
            <w:shd w:val="clear" w:color="auto" w:fill="auto"/>
            <w:noWrap/>
            <w:vAlign w:val="bottom"/>
            <w:hideMark/>
          </w:tcPr>
          <w:p w14:paraId="1B7D1F2A"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Public/G</w:t>
            </w:r>
          </w:p>
        </w:tc>
        <w:tc>
          <w:tcPr>
            <w:tcW w:w="960" w:type="dxa"/>
            <w:tcBorders>
              <w:top w:val="nil"/>
              <w:left w:val="nil"/>
              <w:bottom w:val="nil"/>
              <w:right w:val="nil"/>
            </w:tcBorders>
            <w:shd w:val="clear" w:color="auto" w:fill="auto"/>
            <w:noWrap/>
            <w:vAlign w:val="bottom"/>
            <w:hideMark/>
          </w:tcPr>
          <w:p w14:paraId="2A214E4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w:t>
            </w:r>
          </w:p>
        </w:tc>
        <w:tc>
          <w:tcPr>
            <w:tcW w:w="960" w:type="dxa"/>
            <w:tcBorders>
              <w:top w:val="nil"/>
              <w:left w:val="nil"/>
              <w:bottom w:val="nil"/>
              <w:right w:val="nil"/>
            </w:tcBorders>
            <w:shd w:val="clear" w:color="auto" w:fill="auto"/>
            <w:noWrap/>
            <w:vAlign w:val="bottom"/>
            <w:hideMark/>
          </w:tcPr>
          <w:p w14:paraId="5AC3A55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0.78</w:t>
            </w:r>
          </w:p>
        </w:tc>
        <w:tc>
          <w:tcPr>
            <w:tcW w:w="1054" w:type="dxa"/>
            <w:tcBorders>
              <w:top w:val="nil"/>
              <w:left w:val="nil"/>
              <w:bottom w:val="nil"/>
              <w:right w:val="nil"/>
            </w:tcBorders>
            <w:shd w:val="clear" w:color="auto" w:fill="auto"/>
            <w:noWrap/>
            <w:vAlign w:val="bottom"/>
            <w:hideMark/>
          </w:tcPr>
          <w:p w14:paraId="1EAC093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36.0</w:t>
            </w:r>
          </w:p>
        </w:tc>
        <w:tc>
          <w:tcPr>
            <w:tcW w:w="1054" w:type="dxa"/>
            <w:tcBorders>
              <w:top w:val="nil"/>
              <w:left w:val="nil"/>
              <w:bottom w:val="nil"/>
              <w:right w:val="nil"/>
            </w:tcBorders>
            <w:shd w:val="clear" w:color="auto" w:fill="auto"/>
            <w:noWrap/>
            <w:vAlign w:val="bottom"/>
            <w:hideMark/>
          </w:tcPr>
          <w:p w14:paraId="48EAB62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12.0</w:t>
            </w:r>
          </w:p>
        </w:tc>
        <w:tc>
          <w:tcPr>
            <w:tcW w:w="960" w:type="dxa"/>
            <w:tcBorders>
              <w:top w:val="nil"/>
              <w:left w:val="nil"/>
              <w:bottom w:val="nil"/>
              <w:right w:val="nil"/>
            </w:tcBorders>
            <w:shd w:val="clear" w:color="auto" w:fill="auto"/>
            <w:noWrap/>
            <w:vAlign w:val="bottom"/>
            <w:hideMark/>
          </w:tcPr>
          <w:p w14:paraId="6F5A1BC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38.0</w:t>
            </w:r>
          </w:p>
        </w:tc>
        <w:tc>
          <w:tcPr>
            <w:tcW w:w="1054" w:type="dxa"/>
            <w:tcBorders>
              <w:top w:val="nil"/>
              <w:left w:val="nil"/>
              <w:bottom w:val="nil"/>
              <w:right w:val="nil"/>
            </w:tcBorders>
            <w:shd w:val="clear" w:color="auto" w:fill="auto"/>
            <w:noWrap/>
            <w:vAlign w:val="bottom"/>
            <w:hideMark/>
          </w:tcPr>
          <w:p w14:paraId="6EE9856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8.0</w:t>
            </w:r>
          </w:p>
        </w:tc>
        <w:tc>
          <w:tcPr>
            <w:tcW w:w="1054" w:type="dxa"/>
            <w:tcBorders>
              <w:top w:val="nil"/>
              <w:left w:val="nil"/>
              <w:bottom w:val="nil"/>
              <w:right w:val="nil"/>
            </w:tcBorders>
            <w:shd w:val="clear" w:color="auto" w:fill="auto"/>
            <w:noWrap/>
            <w:vAlign w:val="bottom"/>
            <w:hideMark/>
          </w:tcPr>
          <w:p w14:paraId="0FB08D7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6.0</w:t>
            </w:r>
          </w:p>
        </w:tc>
      </w:tr>
      <w:tr w:rsidR="007653D0" w:rsidRPr="0016235B" w14:paraId="0E6353F1" w14:textId="77777777" w:rsidTr="007653D0">
        <w:trPr>
          <w:trHeight w:val="300"/>
        </w:trPr>
        <w:tc>
          <w:tcPr>
            <w:tcW w:w="2260" w:type="dxa"/>
            <w:tcBorders>
              <w:top w:val="nil"/>
              <w:left w:val="nil"/>
              <w:bottom w:val="nil"/>
              <w:right w:val="nil"/>
            </w:tcBorders>
            <w:shd w:val="clear" w:color="auto" w:fill="auto"/>
            <w:noWrap/>
            <w:vAlign w:val="bottom"/>
            <w:hideMark/>
          </w:tcPr>
          <w:p w14:paraId="6DAAEDA8"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Private</w:t>
            </w:r>
          </w:p>
        </w:tc>
        <w:tc>
          <w:tcPr>
            <w:tcW w:w="960" w:type="dxa"/>
            <w:tcBorders>
              <w:top w:val="nil"/>
              <w:left w:val="nil"/>
              <w:bottom w:val="nil"/>
              <w:right w:val="nil"/>
            </w:tcBorders>
            <w:shd w:val="clear" w:color="auto" w:fill="auto"/>
            <w:noWrap/>
            <w:vAlign w:val="bottom"/>
            <w:hideMark/>
          </w:tcPr>
          <w:p w14:paraId="516C2A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w:t>
            </w:r>
          </w:p>
        </w:tc>
        <w:tc>
          <w:tcPr>
            <w:tcW w:w="960" w:type="dxa"/>
            <w:tcBorders>
              <w:top w:val="nil"/>
              <w:left w:val="nil"/>
              <w:bottom w:val="nil"/>
              <w:right w:val="nil"/>
            </w:tcBorders>
            <w:shd w:val="clear" w:color="auto" w:fill="auto"/>
            <w:noWrap/>
            <w:vAlign w:val="bottom"/>
            <w:hideMark/>
          </w:tcPr>
          <w:p w14:paraId="3DB9038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0.88</w:t>
            </w:r>
          </w:p>
        </w:tc>
        <w:tc>
          <w:tcPr>
            <w:tcW w:w="1054" w:type="dxa"/>
            <w:tcBorders>
              <w:top w:val="nil"/>
              <w:left w:val="nil"/>
              <w:bottom w:val="nil"/>
              <w:right w:val="nil"/>
            </w:tcBorders>
            <w:shd w:val="clear" w:color="auto" w:fill="auto"/>
            <w:noWrap/>
            <w:vAlign w:val="bottom"/>
            <w:hideMark/>
          </w:tcPr>
          <w:p w14:paraId="7DC9E61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21.4</w:t>
            </w:r>
          </w:p>
        </w:tc>
        <w:tc>
          <w:tcPr>
            <w:tcW w:w="1054" w:type="dxa"/>
            <w:tcBorders>
              <w:top w:val="nil"/>
              <w:left w:val="nil"/>
              <w:bottom w:val="nil"/>
              <w:right w:val="nil"/>
            </w:tcBorders>
            <w:shd w:val="clear" w:color="auto" w:fill="auto"/>
            <w:noWrap/>
            <w:vAlign w:val="bottom"/>
            <w:hideMark/>
          </w:tcPr>
          <w:p w14:paraId="458C6D6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374DBDB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57.1</w:t>
            </w:r>
          </w:p>
        </w:tc>
        <w:tc>
          <w:tcPr>
            <w:tcW w:w="1054" w:type="dxa"/>
            <w:tcBorders>
              <w:top w:val="nil"/>
              <w:left w:val="nil"/>
              <w:bottom w:val="nil"/>
              <w:right w:val="nil"/>
            </w:tcBorders>
            <w:shd w:val="clear" w:color="auto" w:fill="auto"/>
            <w:noWrap/>
            <w:vAlign w:val="bottom"/>
            <w:hideMark/>
          </w:tcPr>
          <w:p w14:paraId="3C730EC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7.1</w:t>
            </w:r>
          </w:p>
        </w:tc>
        <w:tc>
          <w:tcPr>
            <w:tcW w:w="1054" w:type="dxa"/>
            <w:tcBorders>
              <w:top w:val="nil"/>
              <w:left w:val="nil"/>
              <w:bottom w:val="nil"/>
              <w:right w:val="nil"/>
            </w:tcBorders>
            <w:shd w:val="clear" w:color="auto" w:fill="auto"/>
            <w:noWrap/>
            <w:vAlign w:val="bottom"/>
            <w:hideMark/>
          </w:tcPr>
          <w:p w14:paraId="250A120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r>
      <w:tr w:rsidR="007653D0" w:rsidRPr="0016235B" w14:paraId="7D282458" w14:textId="77777777" w:rsidTr="007653D0">
        <w:trPr>
          <w:trHeight w:val="300"/>
        </w:trPr>
        <w:tc>
          <w:tcPr>
            <w:tcW w:w="2260" w:type="dxa"/>
            <w:tcBorders>
              <w:top w:val="nil"/>
              <w:left w:val="nil"/>
              <w:bottom w:val="nil"/>
              <w:right w:val="nil"/>
            </w:tcBorders>
            <w:shd w:val="clear" w:color="000000" w:fill="E7E6E6"/>
            <w:noWrap/>
            <w:vAlign w:val="bottom"/>
            <w:hideMark/>
          </w:tcPr>
          <w:p w14:paraId="13980884"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Location</w:t>
            </w:r>
          </w:p>
        </w:tc>
        <w:tc>
          <w:tcPr>
            <w:tcW w:w="960" w:type="dxa"/>
            <w:tcBorders>
              <w:top w:val="nil"/>
              <w:left w:val="nil"/>
              <w:bottom w:val="nil"/>
              <w:right w:val="nil"/>
            </w:tcBorders>
            <w:shd w:val="clear" w:color="000000" w:fill="E7E6E6"/>
            <w:noWrap/>
            <w:vAlign w:val="bottom"/>
            <w:hideMark/>
          </w:tcPr>
          <w:p w14:paraId="4A8B59C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5EFF7550"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54" w:type="dxa"/>
            <w:tcBorders>
              <w:top w:val="nil"/>
              <w:left w:val="nil"/>
              <w:bottom w:val="nil"/>
              <w:right w:val="nil"/>
            </w:tcBorders>
            <w:shd w:val="clear" w:color="000000" w:fill="E7E6E6"/>
            <w:noWrap/>
            <w:vAlign w:val="bottom"/>
            <w:hideMark/>
          </w:tcPr>
          <w:p w14:paraId="09447859"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22C9B298"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2ED536E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44A812E9"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7EEA4A0F"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6B743F0D" w14:textId="77777777" w:rsidTr="007653D0">
        <w:trPr>
          <w:trHeight w:val="300"/>
        </w:trPr>
        <w:tc>
          <w:tcPr>
            <w:tcW w:w="2260" w:type="dxa"/>
            <w:tcBorders>
              <w:top w:val="nil"/>
              <w:left w:val="nil"/>
              <w:bottom w:val="nil"/>
              <w:right w:val="nil"/>
            </w:tcBorders>
            <w:shd w:val="clear" w:color="auto" w:fill="auto"/>
            <w:noWrap/>
            <w:vAlign w:val="bottom"/>
            <w:hideMark/>
          </w:tcPr>
          <w:p w14:paraId="080750C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Urban</w:t>
            </w:r>
          </w:p>
        </w:tc>
        <w:tc>
          <w:tcPr>
            <w:tcW w:w="960" w:type="dxa"/>
            <w:tcBorders>
              <w:top w:val="nil"/>
              <w:left w:val="nil"/>
              <w:bottom w:val="nil"/>
              <w:right w:val="nil"/>
            </w:tcBorders>
            <w:shd w:val="clear" w:color="auto" w:fill="auto"/>
            <w:noWrap/>
            <w:vAlign w:val="bottom"/>
            <w:hideMark/>
          </w:tcPr>
          <w:p w14:paraId="1BB2080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31</w:t>
            </w:r>
          </w:p>
        </w:tc>
        <w:tc>
          <w:tcPr>
            <w:tcW w:w="960" w:type="dxa"/>
            <w:tcBorders>
              <w:top w:val="nil"/>
              <w:left w:val="nil"/>
              <w:bottom w:val="nil"/>
              <w:right w:val="nil"/>
            </w:tcBorders>
            <w:shd w:val="clear" w:color="auto" w:fill="auto"/>
            <w:noWrap/>
            <w:vAlign w:val="bottom"/>
            <w:hideMark/>
          </w:tcPr>
          <w:p w14:paraId="17E9ECE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0.84</w:t>
            </w:r>
          </w:p>
        </w:tc>
        <w:tc>
          <w:tcPr>
            <w:tcW w:w="1054" w:type="dxa"/>
            <w:tcBorders>
              <w:top w:val="nil"/>
              <w:left w:val="nil"/>
              <w:bottom w:val="nil"/>
              <w:right w:val="nil"/>
            </w:tcBorders>
            <w:shd w:val="clear" w:color="auto" w:fill="auto"/>
            <w:noWrap/>
            <w:vAlign w:val="bottom"/>
            <w:hideMark/>
          </w:tcPr>
          <w:p w14:paraId="0432FC6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29.0</w:t>
            </w:r>
          </w:p>
        </w:tc>
        <w:tc>
          <w:tcPr>
            <w:tcW w:w="1054" w:type="dxa"/>
            <w:tcBorders>
              <w:top w:val="nil"/>
              <w:left w:val="nil"/>
              <w:bottom w:val="nil"/>
              <w:right w:val="nil"/>
            </w:tcBorders>
            <w:shd w:val="clear" w:color="auto" w:fill="auto"/>
            <w:noWrap/>
            <w:vAlign w:val="bottom"/>
            <w:hideMark/>
          </w:tcPr>
          <w:p w14:paraId="330A50D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12.9</w:t>
            </w:r>
          </w:p>
        </w:tc>
        <w:tc>
          <w:tcPr>
            <w:tcW w:w="960" w:type="dxa"/>
            <w:tcBorders>
              <w:top w:val="nil"/>
              <w:left w:val="nil"/>
              <w:bottom w:val="nil"/>
              <w:right w:val="nil"/>
            </w:tcBorders>
            <w:shd w:val="clear" w:color="auto" w:fill="auto"/>
            <w:noWrap/>
            <w:vAlign w:val="bottom"/>
            <w:hideMark/>
          </w:tcPr>
          <w:p w14:paraId="2DCB216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35.5</w:t>
            </w:r>
          </w:p>
        </w:tc>
        <w:tc>
          <w:tcPr>
            <w:tcW w:w="1054" w:type="dxa"/>
            <w:tcBorders>
              <w:top w:val="nil"/>
              <w:left w:val="nil"/>
              <w:bottom w:val="nil"/>
              <w:right w:val="nil"/>
            </w:tcBorders>
            <w:shd w:val="clear" w:color="auto" w:fill="auto"/>
            <w:noWrap/>
            <w:vAlign w:val="bottom"/>
            <w:hideMark/>
          </w:tcPr>
          <w:p w14:paraId="64CCCD6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12.9</w:t>
            </w:r>
          </w:p>
        </w:tc>
        <w:tc>
          <w:tcPr>
            <w:tcW w:w="1054" w:type="dxa"/>
            <w:tcBorders>
              <w:top w:val="nil"/>
              <w:left w:val="nil"/>
              <w:bottom w:val="nil"/>
              <w:right w:val="nil"/>
            </w:tcBorders>
            <w:shd w:val="clear" w:color="auto" w:fill="auto"/>
            <w:noWrap/>
            <w:vAlign w:val="bottom"/>
            <w:hideMark/>
          </w:tcPr>
          <w:p w14:paraId="1FF0944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9.7</w:t>
            </w:r>
          </w:p>
        </w:tc>
      </w:tr>
      <w:tr w:rsidR="007653D0" w:rsidRPr="0016235B" w14:paraId="49E590CD" w14:textId="77777777" w:rsidTr="007653D0">
        <w:trPr>
          <w:trHeight w:val="300"/>
        </w:trPr>
        <w:tc>
          <w:tcPr>
            <w:tcW w:w="2260" w:type="dxa"/>
            <w:tcBorders>
              <w:top w:val="nil"/>
              <w:left w:val="nil"/>
              <w:bottom w:val="nil"/>
              <w:right w:val="nil"/>
            </w:tcBorders>
            <w:shd w:val="clear" w:color="auto" w:fill="auto"/>
            <w:noWrap/>
            <w:vAlign w:val="bottom"/>
            <w:hideMark/>
          </w:tcPr>
          <w:p w14:paraId="65A3D3D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Rural</w:t>
            </w:r>
          </w:p>
        </w:tc>
        <w:tc>
          <w:tcPr>
            <w:tcW w:w="960" w:type="dxa"/>
            <w:tcBorders>
              <w:top w:val="nil"/>
              <w:left w:val="nil"/>
              <w:bottom w:val="nil"/>
              <w:right w:val="nil"/>
            </w:tcBorders>
            <w:shd w:val="clear" w:color="auto" w:fill="auto"/>
            <w:noWrap/>
            <w:vAlign w:val="bottom"/>
            <w:hideMark/>
          </w:tcPr>
          <w:p w14:paraId="59023A7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w:t>
            </w:r>
          </w:p>
        </w:tc>
        <w:tc>
          <w:tcPr>
            <w:tcW w:w="960" w:type="dxa"/>
            <w:tcBorders>
              <w:top w:val="nil"/>
              <w:left w:val="nil"/>
              <w:bottom w:val="nil"/>
              <w:right w:val="nil"/>
            </w:tcBorders>
            <w:shd w:val="clear" w:color="auto" w:fill="auto"/>
            <w:noWrap/>
            <w:vAlign w:val="bottom"/>
            <w:hideMark/>
          </w:tcPr>
          <w:p w14:paraId="4589C7E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0.76</w:t>
            </w:r>
          </w:p>
        </w:tc>
        <w:tc>
          <w:tcPr>
            <w:tcW w:w="1054" w:type="dxa"/>
            <w:tcBorders>
              <w:top w:val="nil"/>
              <w:left w:val="nil"/>
              <w:bottom w:val="nil"/>
              <w:right w:val="nil"/>
            </w:tcBorders>
            <w:shd w:val="clear" w:color="auto" w:fill="auto"/>
            <w:noWrap/>
            <w:vAlign w:val="bottom"/>
            <w:hideMark/>
          </w:tcPr>
          <w:p w14:paraId="51C6357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36.4</w:t>
            </w:r>
          </w:p>
        </w:tc>
        <w:tc>
          <w:tcPr>
            <w:tcW w:w="1054" w:type="dxa"/>
            <w:tcBorders>
              <w:top w:val="nil"/>
              <w:left w:val="nil"/>
              <w:bottom w:val="nil"/>
              <w:right w:val="nil"/>
            </w:tcBorders>
            <w:shd w:val="clear" w:color="auto" w:fill="auto"/>
            <w:noWrap/>
            <w:vAlign w:val="bottom"/>
            <w:hideMark/>
          </w:tcPr>
          <w:p w14:paraId="3BFD120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6.1</w:t>
            </w:r>
          </w:p>
        </w:tc>
        <w:tc>
          <w:tcPr>
            <w:tcW w:w="960" w:type="dxa"/>
            <w:tcBorders>
              <w:top w:val="nil"/>
              <w:left w:val="nil"/>
              <w:bottom w:val="nil"/>
              <w:right w:val="nil"/>
            </w:tcBorders>
            <w:shd w:val="clear" w:color="auto" w:fill="auto"/>
            <w:noWrap/>
            <w:vAlign w:val="bottom"/>
            <w:hideMark/>
          </w:tcPr>
          <w:p w14:paraId="76AA936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48.5</w:t>
            </w:r>
          </w:p>
        </w:tc>
        <w:tc>
          <w:tcPr>
            <w:tcW w:w="1054" w:type="dxa"/>
            <w:tcBorders>
              <w:top w:val="nil"/>
              <w:left w:val="nil"/>
              <w:bottom w:val="nil"/>
              <w:right w:val="nil"/>
            </w:tcBorders>
            <w:shd w:val="clear" w:color="auto" w:fill="auto"/>
            <w:noWrap/>
            <w:vAlign w:val="bottom"/>
            <w:hideMark/>
          </w:tcPr>
          <w:p w14:paraId="08E5BAF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w:t>
            </w:r>
          </w:p>
        </w:tc>
        <w:tc>
          <w:tcPr>
            <w:tcW w:w="1054" w:type="dxa"/>
            <w:tcBorders>
              <w:top w:val="nil"/>
              <w:left w:val="nil"/>
              <w:bottom w:val="nil"/>
              <w:right w:val="nil"/>
            </w:tcBorders>
            <w:shd w:val="clear" w:color="auto" w:fill="auto"/>
            <w:noWrap/>
            <w:vAlign w:val="bottom"/>
            <w:hideMark/>
          </w:tcPr>
          <w:p w14:paraId="7042B34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6.1</w:t>
            </w:r>
          </w:p>
        </w:tc>
      </w:tr>
      <w:tr w:rsidR="007653D0" w:rsidRPr="0016235B" w14:paraId="3286BCDE" w14:textId="77777777" w:rsidTr="007653D0">
        <w:trPr>
          <w:trHeight w:val="300"/>
        </w:trPr>
        <w:tc>
          <w:tcPr>
            <w:tcW w:w="2260" w:type="dxa"/>
            <w:tcBorders>
              <w:top w:val="nil"/>
              <w:left w:val="nil"/>
              <w:bottom w:val="nil"/>
              <w:right w:val="nil"/>
            </w:tcBorders>
            <w:shd w:val="clear" w:color="000000" w:fill="E7E6E6"/>
            <w:noWrap/>
            <w:vAlign w:val="bottom"/>
            <w:hideMark/>
          </w:tcPr>
          <w:p w14:paraId="06F0DDD2"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Health Region</w:t>
            </w:r>
          </w:p>
        </w:tc>
        <w:tc>
          <w:tcPr>
            <w:tcW w:w="960" w:type="dxa"/>
            <w:tcBorders>
              <w:top w:val="nil"/>
              <w:left w:val="nil"/>
              <w:bottom w:val="nil"/>
              <w:right w:val="nil"/>
            </w:tcBorders>
            <w:shd w:val="clear" w:color="000000" w:fill="E7E6E6"/>
            <w:noWrap/>
            <w:vAlign w:val="bottom"/>
            <w:hideMark/>
          </w:tcPr>
          <w:p w14:paraId="617A707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313A7C3F"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54" w:type="dxa"/>
            <w:tcBorders>
              <w:top w:val="nil"/>
              <w:left w:val="nil"/>
              <w:bottom w:val="nil"/>
              <w:right w:val="nil"/>
            </w:tcBorders>
            <w:shd w:val="clear" w:color="000000" w:fill="E7E6E6"/>
            <w:noWrap/>
            <w:vAlign w:val="bottom"/>
            <w:hideMark/>
          </w:tcPr>
          <w:p w14:paraId="2BBD5B0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1A58C7E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5AF88AA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0BED18C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54" w:type="dxa"/>
            <w:tcBorders>
              <w:top w:val="nil"/>
              <w:left w:val="nil"/>
              <w:bottom w:val="nil"/>
              <w:right w:val="nil"/>
            </w:tcBorders>
            <w:shd w:val="clear" w:color="000000" w:fill="E7E6E6"/>
            <w:noWrap/>
            <w:vAlign w:val="bottom"/>
            <w:hideMark/>
          </w:tcPr>
          <w:p w14:paraId="21DCE696"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488DB2A1" w14:textId="77777777" w:rsidTr="007653D0">
        <w:trPr>
          <w:trHeight w:val="300"/>
        </w:trPr>
        <w:tc>
          <w:tcPr>
            <w:tcW w:w="2260" w:type="dxa"/>
            <w:tcBorders>
              <w:top w:val="nil"/>
              <w:left w:val="nil"/>
              <w:bottom w:val="nil"/>
              <w:right w:val="nil"/>
            </w:tcBorders>
            <w:shd w:val="clear" w:color="auto" w:fill="auto"/>
            <w:noWrap/>
            <w:vAlign w:val="bottom"/>
            <w:hideMark/>
          </w:tcPr>
          <w:p w14:paraId="7608693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Central1</w:t>
            </w:r>
          </w:p>
        </w:tc>
        <w:tc>
          <w:tcPr>
            <w:tcW w:w="960" w:type="dxa"/>
            <w:tcBorders>
              <w:top w:val="nil"/>
              <w:left w:val="nil"/>
              <w:bottom w:val="nil"/>
              <w:right w:val="nil"/>
            </w:tcBorders>
            <w:shd w:val="clear" w:color="auto" w:fill="auto"/>
            <w:noWrap/>
            <w:vAlign w:val="bottom"/>
            <w:hideMark/>
          </w:tcPr>
          <w:p w14:paraId="3BB9314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w:t>
            </w:r>
          </w:p>
        </w:tc>
        <w:tc>
          <w:tcPr>
            <w:tcW w:w="960" w:type="dxa"/>
            <w:tcBorders>
              <w:top w:val="nil"/>
              <w:left w:val="nil"/>
              <w:bottom w:val="nil"/>
              <w:right w:val="nil"/>
            </w:tcBorders>
            <w:shd w:val="clear" w:color="auto" w:fill="auto"/>
            <w:noWrap/>
            <w:vAlign w:val="bottom"/>
            <w:hideMark/>
          </w:tcPr>
          <w:p w14:paraId="4AA469F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0.77</w:t>
            </w:r>
          </w:p>
        </w:tc>
        <w:tc>
          <w:tcPr>
            <w:tcW w:w="1054" w:type="dxa"/>
            <w:tcBorders>
              <w:top w:val="nil"/>
              <w:left w:val="nil"/>
              <w:bottom w:val="nil"/>
              <w:right w:val="nil"/>
            </w:tcBorders>
            <w:shd w:val="clear" w:color="auto" w:fill="auto"/>
            <w:noWrap/>
            <w:vAlign w:val="bottom"/>
            <w:hideMark/>
          </w:tcPr>
          <w:p w14:paraId="2081847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28.6</w:t>
            </w:r>
          </w:p>
        </w:tc>
        <w:tc>
          <w:tcPr>
            <w:tcW w:w="1054" w:type="dxa"/>
            <w:tcBorders>
              <w:top w:val="nil"/>
              <w:left w:val="nil"/>
              <w:bottom w:val="nil"/>
              <w:right w:val="nil"/>
            </w:tcBorders>
            <w:shd w:val="clear" w:color="auto" w:fill="auto"/>
            <w:noWrap/>
            <w:vAlign w:val="bottom"/>
            <w:hideMark/>
          </w:tcPr>
          <w:p w14:paraId="23C3A65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23D2358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71.4</w:t>
            </w:r>
          </w:p>
        </w:tc>
        <w:tc>
          <w:tcPr>
            <w:tcW w:w="1054" w:type="dxa"/>
            <w:tcBorders>
              <w:top w:val="nil"/>
              <w:left w:val="nil"/>
              <w:bottom w:val="nil"/>
              <w:right w:val="nil"/>
            </w:tcBorders>
            <w:shd w:val="clear" w:color="auto" w:fill="auto"/>
            <w:noWrap/>
            <w:vAlign w:val="bottom"/>
            <w:hideMark/>
          </w:tcPr>
          <w:p w14:paraId="525C133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315943E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5FC26ECD" w14:textId="77777777" w:rsidTr="007653D0">
        <w:trPr>
          <w:trHeight w:val="300"/>
        </w:trPr>
        <w:tc>
          <w:tcPr>
            <w:tcW w:w="2260" w:type="dxa"/>
            <w:tcBorders>
              <w:top w:val="nil"/>
              <w:left w:val="nil"/>
              <w:bottom w:val="nil"/>
              <w:right w:val="nil"/>
            </w:tcBorders>
            <w:shd w:val="clear" w:color="auto" w:fill="auto"/>
            <w:noWrap/>
            <w:vAlign w:val="bottom"/>
            <w:hideMark/>
          </w:tcPr>
          <w:p w14:paraId="7F0AA48C"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Central2</w:t>
            </w:r>
          </w:p>
        </w:tc>
        <w:tc>
          <w:tcPr>
            <w:tcW w:w="960" w:type="dxa"/>
            <w:tcBorders>
              <w:top w:val="nil"/>
              <w:left w:val="nil"/>
              <w:bottom w:val="nil"/>
              <w:right w:val="nil"/>
            </w:tcBorders>
            <w:shd w:val="clear" w:color="auto" w:fill="auto"/>
            <w:noWrap/>
            <w:vAlign w:val="bottom"/>
            <w:hideMark/>
          </w:tcPr>
          <w:p w14:paraId="56579B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w:t>
            </w:r>
          </w:p>
        </w:tc>
        <w:tc>
          <w:tcPr>
            <w:tcW w:w="960" w:type="dxa"/>
            <w:tcBorders>
              <w:top w:val="nil"/>
              <w:left w:val="nil"/>
              <w:bottom w:val="nil"/>
              <w:right w:val="nil"/>
            </w:tcBorders>
            <w:shd w:val="clear" w:color="auto" w:fill="auto"/>
            <w:noWrap/>
            <w:vAlign w:val="bottom"/>
            <w:hideMark/>
          </w:tcPr>
          <w:p w14:paraId="7A00D49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1.10</w:t>
            </w:r>
          </w:p>
        </w:tc>
        <w:tc>
          <w:tcPr>
            <w:tcW w:w="1054" w:type="dxa"/>
            <w:tcBorders>
              <w:top w:val="nil"/>
              <w:left w:val="nil"/>
              <w:bottom w:val="nil"/>
              <w:right w:val="nil"/>
            </w:tcBorders>
            <w:shd w:val="clear" w:color="auto" w:fill="auto"/>
            <w:noWrap/>
            <w:vAlign w:val="bottom"/>
            <w:hideMark/>
          </w:tcPr>
          <w:p w14:paraId="0CE7E1B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36CB33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2C7ADFB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54" w:type="dxa"/>
            <w:tcBorders>
              <w:top w:val="nil"/>
              <w:left w:val="nil"/>
              <w:bottom w:val="nil"/>
              <w:right w:val="nil"/>
            </w:tcBorders>
            <w:shd w:val="clear" w:color="auto" w:fill="auto"/>
            <w:noWrap/>
            <w:vAlign w:val="bottom"/>
            <w:hideMark/>
          </w:tcPr>
          <w:p w14:paraId="00E46C4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54" w:type="dxa"/>
            <w:tcBorders>
              <w:top w:val="nil"/>
              <w:left w:val="nil"/>
              <w:bottom w:val="nil"/>
              <w:right w:val="nil"/>
            </w:tcBorders>
            <w:shd w:val="clear" w:color="auto" w:fill="auto"/>
            <w:noWrap/>
            <w:vAlign w:val="bottom"/>
            <w:hideMark/>
          </w:tcPr>
          <w:p w14:paraId="561ADDF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r>
      <w:tr w:rsidR="007653D0" w:rsidRPr="0016235B" w14:paraId="4257FF1C" w14:textId="77777777" w:rsidTr="007653D0">
        <w:trPr>
          <w:trHeight w:val="300"/>
        </w:trPr>
        <w:tc>
          <w:tcPr>
            <w:tcW w:w="2260" w:type="dxa"/>
            <w:tcBorders>
              <w:top w:val="nil"/>
              <w:left w:val="nil"/>
              <w:bottom w:val="nil"/>
              <w:right w:val="nil"/>
            </w:tcBorders>
            <w:shd w:val="clear" w:color="auto" w:fill="auto"/>
            <w:noWrap/>
            <w:vAlign w:val="bottom"/>
            <w:hideMark/>
          </w:tcPr>
          <w:p w14:paraId="41218F81"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Kampala</w:t>
            </w:r>
          </w:p>
        </w:tc>
        <w:tc>
          <w:tcPr>
            <w:tcW w:w="960" w:type="dxa"/>
            <w:tcBorders>
              <w:top w:val="nil"/>
              <w:left w:val="nil"/>
              <w:bottom w:val="nil"/>
              <w:right w:val="nil"/>
            </w:tcBorders>
            <w:shd w:val="clear" w:color="auto" w:fill="auto"/>
            <w:noWrap/>
            <w:vAlign w:val="bottom"/>
            <w:hideMark/>
          </w:tcPr>
          <w:p w14:paraId="3F8B2A5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w:t>
            </w:r>
          </w:p>
        </w:tc>
        <w:tc>
          <w:tcPr>
            <w:tcW w:w="960" w:type="dxa"/>
            <w:tcBorders>
              <w:top w:val="nil"/>
              <w:left w:val="nil"/>
              <w:bottom w:val="nil"/>
              <w:right w:val="nil"/>
            </w:tcBorders>
            <w:shd w:val="clear" w:color="auto" w:fill="auto"/>
            <w:noWrap/>
            <w:vAlign w:val="bottom"/>
            <w:hideMark/>
          </w:tcPr>
          <w:p w14:paraId="58E3593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1.02</w:t>
            </w:r>
          </w:p>
        </w:tc>
        <w:tc>
          <w:tcPr>
            <w:tcW w:w="1054" w:type="dxa"/>
            <w:tcBorders>
              <w:top w:val="nil"/>
              <w:left w:val="nil"/>
              <w:bottom w:val="nil"/>
              <w:right w:val="nil"/>
            </w:tcBorders>
            <w:shd w:val="clear" w:color="auto" w:fill="auto"/>
            <w:noWrap/>
            <w:vAlign w:val="bottom"/>
            <w:hideMark/>
          </w:tcPr>
          <w:p w14:paraId="24E178A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54" w:type="dxa"/>
            <w:tcBorders>
              <w:top w:val="nil"/>
              <w:left w:val="nil"/>
              <w:bottom w:val="nil"/>
              <w:right w:val="nil"/>
            </w:tcBorders>
            <w:shd w:val="clear" w:color="auto" w:fill="auto"/>
            <w:noWrap/>
            <w:vAlign w:val="bottom"/>
            <w:hideMark/>
          </w:tcPr>
          <w:p w14:paraId="78DD8B6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663AFE1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0032670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1054" w:type="dxa"/>
            <w:tcBorders>
              <w:top w:val="nil"/>
              <w:left w:val="nil"/>
              <w:bottom w:val="nil"/>
              <w:right w:val="nil"/>
            </w:tcBorders>
            <w:shd w:val="clear" w:color="auto" w:fill="auto"/>
            <w:noWrap/>
            <w:vAlign w:val="bottom"/>
            <w:hideMark/>
          </w:tcPr>
          <w:p w14:paraId="28A7A45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r>
      <w:tr w:rsidR="007653D0" w:rsidRPr="0016235B" w14:paraId="0469ED18" w14:textId="77777777" w:rsidTr="007653D0">
        <w:trPr>
          <w:trHeight w:val="300"/>
        </w:trPr>
        <w:tc>
          <w:tcPr>
            <w:tcW w:w="2260" w:type="dxa"/>
            <w:tcBorders>
              <w:top w:val="nil"/>
              <w:left w:val="nil"/>
              <w:bottom w:val="nil"/>
              <w:right w:val="nil"/>
            </w:tcBorders>
            <w:shd w:val="clear" w:color="auto" w:fill="auto"/>
            <w:noWrap/>
            <w:vAlign w:val="bottom"/>
            <w:hideMark/>
          </w:tcPr>
          <w:p w14:paraId="44E2C02B"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Karamoja</w:t>
            </w:r>
          </w:p>
        </w:tc>
        <w:tc>
          <w:tcPr>
            <w:tcW w:w="960" w:type="dxa"/>
            <w:tcBorders>
              <w:top w:val="nil"/>
              <w:left w:val="nil"/>
              <w:bottom w:val="nil"/>
              <w:right w:val="nil"/>
            </w:tcBorders>
            <w:shd w:val="clear" w:color="auto" w:fill="auto"/>
            <w:noWrap/>
            <w:vAlign w:val="bottom"/>
            <w:hideMark/>
          </w:tcPr>
          <w:p w14:paraId="49F31A2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w:t>
            </w:r>
          </w:p>
        </w:tc>
        <w:tc>
          <w:tcPr>
            <w:tcW w:w="960" w:type="dxa"/>
            <w:tcBorders>
              <w:top w:val="nil"/>
              <w:left w:val="nil"/>
              <w:bottom w:val="nil"/>
              <w:right w:val="nil"/>
            </w:tcBorders>
            <w:shd w:val="clear" w:color="auto" w:fill="auto"/>
            <w:noWrap/>
            <w:vAlign w:val="bottom"/>
            <w:hideMark/>
          </w:tcPr>
          <w:p w14:paraId="0E3EE63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0.58</w:t>
            </w:r>
          </w:p>
        </w:tc>
        <w:tc>
          <w:tcPr>
            <w:tcW w:w="1054" w:type="dxa"/>
            <w:tcBorders>
              <w:top w:val="nil"/>
              <w:left w:val="nil"/>
              <w:bottom w:val="nil"/>
              <w:right w:val="nil"/>
            </w:tcBorders>
            <w:shd w:val="clear" w:color="auto" w:fill="auto"/>
            <w:noWrap/>
            <w:vAlign w:val="bottom"/>
            <w:hideMark/>
          </w:tcPr>
          <w:p w14:paraId="1E11BD1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66.7</w:t>
            </w:r>
          </w:p>
        </w:tc>
        <w:tc>
          <w:tcPr>
            <w:tcW w:w="1054" w:type="dxa"/>
            <w:tcBorders>
              <w:top w:val="nil"/>
              <w:left w:val="nil"/>
              <w:bottom w:val="nil"/>
              <w:right w:val="nil"/>
            </w:tcBorders>
            <w:shd w:val="clear" w:color="auto" w:fill="auto"/>
            <w:noWrap/>
            <w:vAlign w:val="bottom"/>
            <w:hideMark/>
          </w:tcPr>
          <w:p w14:paraId="29900CA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1642085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33.3</w:t>
            </w:r>
          </w:p>
        </w:tc>
        <w:tc>
          <w:tcPr>
            <w:tcW w:w="1054" w:type="dxa"/>
            <w:tcBorders>
              <w:top w:val="nil"/>
              <w:left w:val="nil"/>
              <w:bottom w:val="nil"/>
              <w:right w:val="nil"/>
            </w:tcBorders>
            <w:shd w:val="clear" w:color="auto" w:fill="auto"/>
            <w:noWrap/>
            <w:vAlign w:val="bottom"/>
            <w:hideMark/>
          </w:tcPr>
          <w:p w14:paraId="7E4772E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1610250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56B0CDB3" w14:textId="77777777" w:rsidTr="007653D0">
        <w:trPr>
          <w:trHeight w:val="300"/>
        </w:trPr>
        <w:tc>
          <w:tcPr>
            <w:tcW w:w="2260" w:type="dxa"/>
            <w:tcBorders>
              <w:top w:val="nil"/>
              <w:left w:val="nil"/>
              <w:bottom w:val="nil"/>
              <w:right w:val="nil"/>
            </w:tcBorders>
            <w:shd w:val="clear" w:color="auto" w:fill="auto"/>
            <w:noWrap/>
            <w:vAlign w:val="bottom"/>
            <w:hideMark/>
          </w:tcPr>
          <w:p w14:paraId="6EB959E1" w14:textId="77777777" w:rsidR="007653D0" w:rsidRPr="0016235B" w:rsidRDefault="007653D0" w:rsidP="007653D0">
            <w:pPr>
              <w:spacing w:after="0" w:line="240" w:lineRule="auto"/>
              <w:rPr>
                <w:rFonts w:ascii="Candara" w:eastAsia="Times New Roman" w:hAnsi="Candara" w:cs="Calibri"/>
                <w:color w:val="000000"/>
                <w:sz w:val="20"/>
                <w:szCs w:val="20"/>
              </w:rPr>
            </w:pPr>
            <w:proofErr w:type="spellStart"/>
            <w:r w:rsidRPr="0016235B">
              <w:rPr>
                <w:rFonts w:ascii="Candara" w:eastAsia="Times New Roman" w:hAnsi="Candara" w:cs="Calibri"/>
                <w:color w:val="000000"/>
                <w:sz w:val="20"/>
                <w:szCs w:val="20"/>
              </w:rPr>
              <w:t>Mid East</w:t>
            </w:r>
            <w:proofErr w:type="spellEnd"/>
          </w:p>
        </w:tc>
        <w:tc>
          <w:tcPr>
            <w:tcW w:w="960" w:type="dxa"/>
            <w:tcBorders>
              <w:top w:val="nil"/>
              <w:left w:val="nil"/>
              <w:bottom w:val="nil"/>
              <w:right w:val="nil"/>
            </w:tcBorders>
            <w:shd w:val="clear" w:color="auto" w:fill="auto"/>
            <w:noWrap/>
            <w:vAlign w:val="bottom"/>
            <w:hideMark/>
          </w:tcPr>
          <w:p w14:paraId="57B9F45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w:t>
            </w:r>
          </w:p>
        </w:tc>
        <w:tc>
          <w:tcPr>
            <w:tcW w:w="960" w:type="dxa"/>
            <w:tcBorders>
              <w:top w:val="nil"/>
              <w:left w:val="nil"/>
              <w:bottom w:val="nil"/>
              <w:right w:val="nil"/>
            </w:tcBorders>
            <w:shd w:val="clear" w:color="auto" w:fill="auto"/>
            <w:noWrap/>
            <w:vAlign w:val="bottom"/>
            <w:hideMark/>
          </w:tcPr>
          <w:p w14:paraId="13E075B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0.99</w:t>
            </w:r>
          </w:p>
        </w:tc>
        <w:tc>
          <w:tcPr>
            <w:tcW w:w="1054" w:type="dxa"/>
            <w:tcBorders>
              <w:top w:val="nil"/>
              <w:left w:val="nil"/>
              <w:bottom w:val="nil"/>
              <w:right w:val="nil"/>
            </w:tcBorders>
            <w:shd w:val="clear" w:color="auto" w:fill="auto"/>
            <w:noWrap/>
            <w:vAlign w:val="bottom"/>
            <w:hideMark/>
          </w:tcPr>
          <w:p w14:paraId="2510D6D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1054" w:type="dxa"/>
            <w:tcBorders>
              <w:top w:val="nil"/>
              <w:left w:val="nil"/>
              <w:bottom w:val="nil"/>
              <w:right w:val="nil"/>
            </w:tcBorders>
            <w:shd w:val="clear" w:color="auto" w:fill="auto"/>
            <w:noWrap/>
            <w:vAlign w:val="bottom"/>
            <w:hideMark/>
          </w:tcPr>
          <w:p w14:paraId="120E6BB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4E4635A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55.6</w:t>
            </w:r>
          </w:p>
        </w:tc>
        <w:tc>
          <w:tcPr>
            <w:tcW w:w="1054" w:type="dxa"/>
            <w:tcBorders>
              <w:top w:val="nil"/>
              <w:left w:val="nil"/>
              <w:bottom w:val="nil"/>
              <w:right w:val="nil"/>
            </w:tcBorders>
            <w:shd w:val="clear" w:color="auto" w:fill="auto"/>
            <w:noWrap/>
            <w:vAlign w:val="bottom"/>
            <w:hideMark/>
          </w:tcPr>
          <w:p w14:paraId="76840A2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1054" w:type="dxa"/>
            <w:tcBorders>
              <w:top w:val="nil"/>
              <w:left w:val="nil"/>
              <w:bottom w:val="nil"/>
              <w:right w:val="nil"/>
            </w:tcBorders>
            <w:shd w:val="clear" w:color="auto" w:fill="auto"/>
            <w:noWrap/>
            <w:vAlign w:val="bottom"/>
            <w:hideMark/>
          </w:tcPr>
          <w:p w14:paraId="42872C0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22.2</w:t>
            </w:r>
          </w:p>
        </w:tc>
      </w:tr>
      <w:tr w:rsidR="007653D0" w:rsidRPr="0016235B" w14:paraId="35A49B51" w14:textId="77777777" w:rsidTr="007653D0">
        <w:trPr>
          <w:trHeight w:val="300"/>
        </w:trPr>
        <w:tc>
          <w:tcPr>
            <w:tcW w:w="2260" w:type="dxa"/>
            <w:tcBorders>
              <w:top w:val="nil"/>
              <w:left w:val="nil"/>
              <w:bottom w:val="nil"/>
              <w:right w:val="nil"/>
            </w:tcBorders>
            <w:shd w:val="clear" w:color="auto" w:fill="auto"/>
            <w:noWrap/>
            <w:vAlign w:val="bottom"/>
            <w:hideMark/>
          </w:tcPr>
          <w:p w14:paraId="57D03EF7"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Mid-North</w:t>
            </w:r>
          </w:p>
        </w:tc>
        <w:tc>
          <w:tcPr>
            <w:tcW w:w="960" w:type="dxa"/>
            <w:tcBorders>
              <w:top w:val="nil"/>
              <w:left w:val="nil"/>
              <w:bottom w:val="nil"/>
              <w:right w:val="nil"/>
            </w:tcBorders>
            <w:shd w:val="clear" w:color="auto" w:fill="auto"/>
            <w:noWrap/>
            <w:vAlign w:val="bottom"/>
            <w:hideMark/>
          </w:tcPr>
          <w:p w14:paraId="6B0C7BF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960" w:type="dxa"/>
            <w:tcBorders>
              <w:top w:val="nil"/>
              <w:left w:val="nil"/>
              <w:bottom w:val="nil"/>
              <w:right w:val="nil"/>
            </w:tcBorders>
            <w:shd w:val="clear" w:color="auto" w:fill="auto"/>
            <w:noWrap/>
            <w:vAlign w:val="bottom"/>
            <w:hideMark/>
          </w:tcPr>
          <w:p w14:paraId="58FDBF8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1054" w:type="dxa"/>
            <w:tcBorders>
              <w:top w:val="nil"/>
              <w:left w:val="nil"/>
              <w:bottom w:val="nil"/>
              <w:right w:val="nil"/>
            </w:tcBorders>
            <w:shd w:val="clear" w:color="auto" w:fill="auto"/>
            <w:noWrap/>
            <w:vAlign w:val="bottom"/>
            <w:hideMark/>
          </w:tcPr>
          <w:p w14:paraId="19AA5CD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54" w:type="dxa"/>
            <w:tcBorders>
              <w:top w:val="nil"/>
              <w:left w:val="nil"/>
              <w:bottom w:val="nil"/>
              <w:right w:val="nil"/>
            </w:tcBorders>
            <w:shd w:val="clear" w:color="auto" w:fill="auto"/>
            <w:noWrap/>
            <w:vAlign w:val="bottom"/>
            <w:hideMark/>
          </w:tcPr>
          <w:p w14:paraId="37B95F8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960" w:type="dxa"/>
            <w:tcBorders>
              <w:top w:val="nil"/>
              <w:left w:val="nil"/>
              <w:bottom w:val="nil"/>
              <w:right w:val="nil"/>
            </w:tcBorders>
            <w:shd w:val="clear" w:color="auto" w:fill="auto"/>
            <w:noWrap/>
            <w:vAlign w:val="bottom"/>
            <w:hideMark/>
          </w:tcPr>
          <w:p w14:paraId="5D93992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1054" w:type="dxa"/>
            <w:tcBorders>
              <w:top w:val="nil"/>
              <w:left w:val="nil"/>
              <w:bottom w:val="nil"/>
              <w:right w:val="nil"/>
            </w:tcBorders>
            <w:shd w:val="clear" w:color="auto" w:fill="auto"/>
            <w:noWrap/>
            <w:vAlign w:val="bottom"/>
            <w:hideMark/>
          </w:tcPr>
          <w:p w14:paraId="02688EA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003613D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3CE540D8" w14:textId="77777777" w:rsidTr="007653D0">
        <w:trPr>
          <w:trHeight w:val="300"/>
        </w:trPr>
        <w:tc>
          <w:tcPr>
            <w:tcW w:w="2260" w:type="dxa"/>
            <w:tcBorders>
              <w:top w:val="nil"/>
              <w:left w:val="nil"/>
              <w:bottom w:val="nil"/>
              <w:right w:val="nil"/>
            </w:tcBorders>
            <w:shd w:val="clear" w:color="auto" w:fill="auto"/>
            <w:noWrap/>
            <w:vAlign w:val="bottom"/>
            <w:hideMark/>
          </w:tcPr>
          <w:p w14:paraId="06E74C57"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Mid-West</w:t>
            </w:r>
          </w:p>
        </w:tc>
        <w:tc>
          <w:tcPr>
            <w:tcW w:w="960" w:type="dxa"/>
            <w:tcBorders>
              <w:top w:val="nil"/>
              <w:left w:val="nil"/>
              <w:bottom w:val="nil"/>
              <w:right w:val="nil"/>
            </w:tcBorders>
            <w:shd w:val="clear" w:color="auto" w:fill="auto"/>
            <w:noWrap/>
            <w:vAlign w:val="bottom"/>
            <w:hideMark/>
          </w:tcPr>
          <w:p w14:paraId="7268479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w:t>
            </w:r>
          </w:p>
        </w:tc>
        <w:tc>
          <w:tcPr>
            <w:tcW w:w="960" w:type="dxa"/>
            <w:tcBorders>
              <w:top w:val="nil"/>
              <w:left w:val="nil"/>
              <w:bottom w:val="nil"/>
              <w:right w:val="nil"/>
            </w:tcBorders>
            <w:shd w:val="clear" w:color="auto" w:fill="auto"/>
            <w:noWrap/>
            <w:vAlign w:val="bottom"/>
            <w:hideMark/>
          </w:tcPr>
          <w:p w14:paraId="25908A7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0.00</w:t>
            </w:r>
          </w:p>
        </w:tc>
        <w:tc>
          <w:tcPr>
            <w:tcW w:w="1054" w:type="dxa"/>
            <w:tcBorders>
              <w:top w:val="nil"/>
              <w:left w:val="nil"/>
              <w:bottom w:val="nil"/>
              <w:right w:val="nil"/>
            </w:tcBorders>
            <w:shd w:val="clear" w:color="auto" w:fill="auto"/>
            <w:noWrap/>
            <w:vAlign w:val="bottom"/>
            <w:hideMark/>
          </w:tcPr>
          <w:p w14:paraId="351B9EE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100.0</w:t>
            </w:r>
          </w:p>
        </w:tc>
        <w:tc>
          <w:tcPr>
            <w:tcW w:w="1054" w:type="dxa"/>
            <w:tcBorders>
              <w:top w:val="nil"/>
              <w:left w:val="nil"/>
              <w:bottom w:val="nil"/>
              <w:right w:val="nil"/>
            </w:tcBorders>
            <w:shd w:val="clear" w:color="auto" w:fill="auto"/>
            <w:noWrap/>
            <w:vAlign w:val="bottom"/>
            <w:hideMark/>
          </w:tcPr>
          <w:p w14:paraId="7FAC41A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0E5EE0C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68E1448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250E9E8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7FAC223D" w14:textId="77777777" w:rsidTr="007653D0">
        <w:trPr>
          <w:trHeight w:val="300"/>
        </w:trPr>
        <w:tc>
          <w:tcPr>
            <w:tcW w:w="2260" w:type="dxa"/>
            <w:tcBorders>
              <w:top w:val="nil"/>
              <w:left w:val="nil"/>
              <w:bottom w:val="nil"/>
              <w:right w:val="nil"/>
            </w:tcBorders>
            <w:shd w:val="clear" w:color="auto" w:fill="auto"/>
            <w:noWrap/>
            <w:vAlign w:val="bottom"/>
            <w:hideMark/>
          </w:tcPr>
          <w:p w14:paraId="41F56C18"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North East</w:t>
            </w:r>
          </w:p>
        </w:tc>
        <w:tc>
          <w:tcPr>
            <w:tcW w:w="960" w:type="dxa"/>
            <w:tcBorders>
              <w:top w:val="nil"/>
              <w:left w:val="nil"/>
              <w:bottom w:val="nil"/>
              <w:right w:val="nil"/>
            </w:tcBorders>
            <w:shd w:val="clear" w:color="auto" w:fill="auto"/>
            <w:noWrap/>
            <w:vAlign w:val="bottom"/>
            <w:hideMark/>
          </w:tcPr>
          <w:p w14:paraId="7F40B57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w:t>
            </w:r>
          </w:p>
        </w:tc>
        <w:tc>
          <w:tcPr>
            <w:tcW w:w="960" w:type="dxa"/>
            <w:tcBorders>
              <w:top w:val="nil"/>
              <w:left w:val="nil"/>
              <w:bottom w:val="nil"/>
              <w:right w:val="nil"/>
            </w:tcBorders>
            <w:shd w:val="clear" w:color="auto" w:fill="auto"/>
            <w:noWrap/>
            <w:vAlign w:val="bottom"/>
            <w:hideMark/>
          </w:tcPr>
          <w:p w14:paraId="707DE9B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0.71</w:t>
            </w:r>
          </w:p>
        </w:tc>
        <w:tc>
          <w:tcPr>
            <w:tcW w:w="1054" w:type="dxa"/>
            <w:tcBorders>
              <w:top w:val="nil"/>
              <w:left w:val="nil"/>
              <w:bottom w:val="nil"/>
              <w:right w:val="nil"/>
            </w:tcBorders>
            <w:shd w:val="clear" w:color="auto" w:fill="auto"/>
            <w:noWrap/>
            <w:vAlign w:val="bottom"/>
            <w:hideMark/>
          </w:tcPr>
          <w:p w14:paraId="297C3C3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100.0</w:t>
            </w:r>
          </w:p>
        </w:tc>
        <w:tc>
          <w:tcPr>
            <w:tcW w:w="1054" w:type="dxa"/>
            <w:tcBorders>
              <w:top w:val="nil"/>
              <w:left w:val="nil"/>
              <w:bottom w:val="nil"/>
              <w:right w:val="nil"/>
            </w:tcBorders>
            <w:shd w:val="clear" w:color="auto" w:fill="auto"/>
            <w:noWrap/>
            <w:vAlign w:val="bottom"/>
            <w:hideMark/>
          </w:tcPr>
          <w:p w14:paraId="1E1FEED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4A1B740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1A3FA91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1746515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43E69F26" w14:textId="77777777" w:rsidTr="007653D0">
        <w:trPr>
          <w:trHeight w:val="300"/>
        </w:trPr>
        <w:tc>
          <w:tcPr>
            <w:tcW w:w="2260" w:type="dxa"/>
            <w:tcBorders>
              <w:top w:val="nil"/>
              <w:left w:val="nil"/>
              <w:bottom w:val="nil"/>
              <w:right w:val="nil"/>
            </w:tcBorders>
            <w:shd w:val="clear" w:color="auto" w:fill="auto"/>
            <w:noWrap/>
            <w:vAlign w:val="bottom"/>
            <w:hideMark/>
          </w:tcPr>
          <w:p w14:paraId="09AA8CFA"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South West</w:t>
            </w:r>
          </w:p>
        </w:tc>
        <w:tc>
          <w:tcPr>
            <w:tcW w:w="960" w:type="dxa"/>
            <w:tcBorders>
              <w:top w:val="nil"/>
              <w:left w:val="nil"/>
              <w:bottom w:val="nil"/>
              <w:right w:val="nil"/>
            </w:tcBorders>
            <w:shd w:val="clear" w:color="auto" w:fill="auto"/>
            <w:noWrap/>
            <w:vAlign w:val="bottom"/>
            <w:hideMark/>
          </w:tcPr>
          <w:p w14:paraId="6EEF0E6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w:t>
            </w:r>
          </w:p>
        </w:tc>
        <w:tc>
          <w:tcPr>
            <w:tcW w:w="960" w:type="dxa"/>
            <w:tcBorders>
              <w:top w:val="nil"/>
              <w:left w:val="nil"/>
              <w:bottom w:val="nil"/>
              <w:right w:val="nil"/>
            </w:tcBorders>
            <w:shd w:val="clear" w:color="auto" w:fill="auto"/>
            <w:noWrap/>
            <w:vAlign w:val="bottom"/>
            <w:hideMark/>
          </w:tcPr>
          <w:p w14:paraId="6407D55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0.97</w:t>
            </w:r>
          </w:p>
        </w:tc>
        <w:tc>
          <w:tcPr>
            <w:tcW w:w="1054" w:type="dxa"/>
            <w:tcBorders>
              <w:top w:val="nil"/>
              <w:left w:val="nil"/>
              <w:bottom w:val="nil"/>
              <w:right w:val="nil"/>
            </w:tcBorders>
            <w:shd w:val="clear" w:color="auto" w:fill="auto"/>
            <w:noWrap/>
            <w:vAlign w:val="bottom"/>
            <w:hideMark/>
          </w:tcPr>
          <w:p w14:paraId="1B8F46E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054" w:type="dxa"/>
            <w:tcBorders>
              <w:top w:val="nil"/>
              <w:left w:val="nil"/>
              <w:bottom w:val="nil"/>
              <w:right w:val="nil"/>
            </w:tcBorders>
            <w:shd w:val="clear" w:color="auto" w:fill="auto"/>
            <w:noWrap/>
            <w:vAlign w:val="bottom"/>
            <w:hideMark/>
          </w:tcPr>
          <w:p w14:paraId="629F50B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960" w:type="dxa"/>
            <w:tcBorders>
              <w:top w:val="nil"/>
              <w:left w:val="nil"/>
              <w:bottom w:val="nil"/>
              <w:right w:val="nil"/>
            </w:tcBorders>
            <w:shd w:val="clear" w:color="auto" w:fill="auto"/>
            <w:noWrap/>
            <w:vAlign w:val="bottom"/>
            <w:hideMark/>
          </w:tcPr>
          <w:p w14:paraId="14E8B66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58.3</w:t>
            </w:r>
          </w:p>
        </w:tc>
        <w:tc>
          <w:tcPr>
            <w:tcW w:w="1054" w:type="dxa"/>
            <w:tcBorders>
              <w:top w:val="nil"/>
              <w:left w:val="nil"/>
              <w:bottom w:val="nil"/>
              <w:right w:val="nil"/>
            </w:tcBorders>
            <w:shd w:val="clear" w:color="auto" w:fill="auto"/>
            <w:noWrap/>
            <w:vAlign w:val="bottom"/>
            <w:hideMark/>
          </w:tcPr>
          <w:p w14:paraId="3EA973A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8.3</w:t>
            </w:r>
          </w:p>
        </w:tc>
        <w:tc>
          <w:tcPr>
            <w:tcW w:w="1054" w:type="dxa"/>
            <w:tcBorders>
              <w:top w:val="nil"/>
              <w:left w:val="nil"/>
              <w:bottom w:val="nil"/>
              <w:right w:val="nil"/>
            </w:tcBorders>
            <w:shd w:val="clear" w:color="auto" w:fill="auto"/>
            <w:noWrap/>
            <w:vAlign w:val="bottom"/>
            <w:hideMark/>
          </w:tcPr>
          <w:p w14:paraId="05C7251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1F2FB88B" w14:textId="77777777" w:rsidTr="007653D0">
        <w:trPr>
          <w:trHeight w:val="300"/>
        </w:trPr>
        <w:tc>
          <w:tcPr>
            <w:tcW w:w="2260" w:type="dxa"/>
            <w:tcBorders>
              <w:top w:val="nil"/>
              <w:left w:val="nil"/>
              <w:bottom w:val="nil"/>
              <w:right w:val="nil"/>
            </w:tcBorders>
            <w:shd w:val="clear" w:color="auto" w:fill="auto"/>
            <w:noWrap/>
            <w:vAlign w:val="bottom"/>
            <w:hideMark/>
          </w:tcPr>
          <w:p w14:paraId="01744CB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West Nile</w:t>
            </w:r>
          </w:p>
        </w:tc>
        <w:tc>
          <w:tcPr>
            <w:tcW w:w="960" w:type="dxa"/>
            <w:tcBorders>
              <w:top w:val="nil"/>
              <w:left w:val="nil"/>
              <w:bottom w:val="nil"/>
              <w:right w:val="nil"/>
            </w:tcBorders>
            <w:shd w:val="clear" w:color="auto" w:fill="auto"/>
            <w:noWrap/>
            <w:vAlign w:val="bottom"/>
            <w:hideMark/>
          </w:tcPr>
          <w:p w14:paraId="65AF24F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960" w:type="dxa"/>
            <w:tcBorders>
              <w:top w:val="nil"/>
              <w:left w:val="nil"/>
              <w:bottom w:val="nil"/>
              <w:right w:val="nil"/>
            </w:tcBorders>
            <w:shd w:val="clear" w:color="auto" w:fill="auto"/>
            <w:noWrap/>
            <w:vAlign w:val="bottom"/>
            <w:hideMark/>
          </w:tcPr>
          <w:p w14:paraId="0B2A5C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0.75</w:t>
            </w:r>
          </w:p>
        </w:tc>
        <w:tc>
          <w:tcPr>
            <w:tcW w:w="1054" w:type="dxa"/>
            <w:tcBorders>
              <w:top w:val="nil"/>
              <w:left w:val="nil"/>
              <w:bottom w:val="nil"/>
              <w:right w:val="nil"/>
            </w:tcBorders>
            <w:shd w:val="clear" w:color="auto" w:fill="auto"/>
            <w:noWrap/>
            <w:vAlign w:val="bottom"/>
            <w:hideMark/>
          </w:tcPr>
          <w:p w14:paraId="7322930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54" w:type="dxa"/>
            <w:tcBorders>
              <w:top w:val="nil"/>
              <w:left w:val="nil"/>
              <w:bottom w:val="nil"/>
              <w:right w:val="nil"/>
            </w:tcBorders>
            <w:shd w:val="clear" w:color="auto" w:fill="auto"/>
            <w:noWrap/>
            <w:vAlign w:val="bottom"/>
            <w:hideMark/>
          </w:tcPr>
          <w:p w14:paraId="106ED30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960" w:type="dxa"/>
            <w:tcBorders>
              <w:top w:val="nil"/>
              <w:left w:val="nil"/>
              <w:bottom w:val="nil"/>
              <w:right w:val="nil"/>
            </w:tcBorders>
            <w:shd w:val="clear" w:color="auto" w:fill="auto"/>
            <w:noWrap/>
            <w:vAlign w:val="bottom"/>
            <w:hideMark/>
          </w:tcPr>
          <w:p w14:paraId="06A26D9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62.5</w:t>
            </w:r>
          </w:p>
        </w:tc>
        <w:tc>
          <w:tcPr>
            <w:tcW w:w="1054" w:type="dxa"/>
            <w:tcBorders>
              <w:top w:val="nil"/>
              <w:left w:val="nil"/>
              <w:bottom w:val="nil"/>
              <w:right w:val="nil"/>
            </w:tcBorders>
            <w:shd w:val="clear" w:color="auto" w:fill="auto"/>
            <w:noWrap/>
            <w:vAlign w:val="bottom"/>
            <w:hideMark/>
          </w:tcPr>
          <w:p w14:paraId="2053F11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54" w:type="dxa"/>
            <w:tcBorders>
              <w:top w:val="nil"/>
              <w:left w:val="nil"/>
              <w:bottom w:val="nil"/>
              <w:right w:val="nil"/>
            </w:tcBorders>
            <w:shd w:val="clear" w:color="auto" w:fill="auto"/>
            <w:noWrap/>
            <w:vAlign w:val="bottom"/>
            <w:hideMark/>
          </w:tcPr>
          <w:p w14:paraId="4F55872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6AB4D38D" w14:textId="77777777" w:rsidTr="007653D0">
        <w:trPr>
          <w:trHeight w:val="300"/>
        </w:trPr>
        <w:tc>
          <w:tcPr>
            <w:tcW w:w="2260" w:type="dxa"/>
            <w:tcBorders>
              <w:top w:val="nil"/>
              <w:left w:val="nil"/>
              <w:bottom w:val="nil"/>
              <w:right w:val="nil"/>
            </w:tcBorders>
            <w:shd w:val="clear" w:color="000000" w:fill="E7E6E6"/>
            <w:noWrap/>
            <w:vAlign w:val="bottom"/>
            <w:hideMark/>
          </w:tcPr>
          <w:p w14:paraId="04C77541"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xml:space="preserve">Uganda </w:t>
            </w:r>
          </w:p>
        </w:tc>
        <w:tc>
          <w:tcPr>
            <w:tcW w:w="960" w:type="dxa"/>
            <w:tcBorders>
              <w:top w:val="nil"/>
              <w:left w:val="nil"/>
              <w:bottom w:val="nil"/>
              <w:right w:val="nil"/>
            </w:tcBorders>
            <w:shd w:val="clear" w:color="000000" w:fill="E7E6E6"/>
            <w:noWrap/>
            <w:vAlign w:val="bottom"/>
            <w:hideMark/>
          </w:tcPr>
          <w:p w14:paraId="72EA0066"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64</w:t>
            </w:r>
          </w:p>
        </w:tc>
        <w:tc>
          <w:tcPr>
            <w:tcW w:w="960" w:type="dxa"/>
            <w:tcBorders>
              <w:top w:val="nil"/>
              <w:left w:val="nil"/>
              <w:bottom w:val="nil"/>
              <w:right w:val="nil"/>
            </w:tcBorders>
            <w:shd w:val="clear" w:color="000000" w:fill="E7E6E6"/>
            <w:noWrap/>
            <w:vAlign w:val="bottom"/>
            <w:hideMark/>
          </w:tcPr>
          <w:p w14:paraId="161E3554"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0.80</w:t>
            </w:r>
          </w:p>
        </w:tc>
        <w:tc>
          <w:tcPr>
            <w:tcW w:w="1054" w:type="dxa"/>
            <w:tcBorders>
              <w:top w:val="nil"/>
              <w:left w:val="nil"/>
              <w:bottom w:val="nil"/>
              <w:right w:val="nil"/>
            </w:tcBorders>
            <w:shd w:val="clear" w:color="000000" w:fill="E7E6E6"/>
            <w:noWrap/>
            <w:vAlign w:val="bottom"/>
            <w:hideMark/>
          </w:tcPr>
          <w:p w14:paraId="1FF09D20"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32.8</w:t>
            </w:r>
          </w:p>
        </w:tc>
        <w:tc>
          <w:tcPr>
            <w:tcW w:w="1054" w:type="dxa"/>
            <w:tcBorders>
              <w:top w:val="nil"/>
              <w:left w:val="nil"/>
              <w:bottom w:val="nil"/>
              <w:right w:val="nil"/>
            </w:tcBorders>
            <w:shd w:val="clear" w:color="000000" w:fill="E7E6E6"/>
            <w:noWrap/>
            <w:vAlign w:val="bottom"/>
            <w:hideMark/>
          </w:tcPr>
          <w:p w14:paraId="6CC8A4A5"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9.4</w:t>
            </w:r>
          </w:p>
        </w:tc>
        <w:tc>
          <w:tcPr>
            <w:tcW w:w="960" w:type="dxa"/>
            <w:tcBorders>
              <w:top w:val="nil"/>
              <w:left w:val="nil"/>
              <w:bottom w:val="nil"/>
              <w:right w:val="nil"/>
            </w:tcBorders>
            <w:shd w:val="clear" w:color="000000" w:fill="E7E6E6"/>
            <w:noWrap/>
            <w:vAlign w:val="bottom"/>
            <w:hideMark/>
          </w:tcPr>
          <w:p w14:paraId="68614DD8"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42.2</w:t>
            </w:r>
          </w:p>
        </w:tc>
        <w:tc>
          <w:tcPr>
            <w:tcW w:w="1054" w:type="dxa"/>
            <w:tcBorders>
              <w:top w:val="nil"/>
              <w:left w:val="nil"/>
              <w:bottom w:val="nil"/>
              <w:right w:val="nil"/>
            </w:tcBorders>
            <w:shd w:val="clear" w:color="000000" w:fill="E7E6E6"/>
            <w:noWrap/>
            <w:vAlign w:val="bottom"/>
            <w:hideMark/>
          </w:tcPr>
          <w:p w14:paraId="77F433B4"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7.8</w:t>
            </w:r>
          </w:p>
        </w:tc>
        <w:tc>
          <w:tcPr>
            <w:tcW w:w="1054" w:type="dxa"/>
            <w:tcBorders>
              <w:top w:val="nil"/>
              <w:left w:val="nil"/>
              <w:bottom w:val="nil"/>
              <w:right w:val="nil"/>
            </w:tcBorders>
            <w:shd w:val="clear" w:color="000000" w:fill="E7E6E6"/>
            <w:noWrap/>
            <w:vAlign w:val="bottom"/>
            <w:hideMark/>
          </w:tcPr>
          <w:p w14:paraId="6E70713B" w14:textId="77777777" w:rsidR="007653D0" w:rsidRPr="0016235B" w:rsidRDefault="007653D0" w:rsidP="007653D0">
            <w:pPr>
              <w:spacing w:after="0" w:line="240" w:lineRule="auto"/>
              <w:jc w:val="right"/>
              <w:rPr>
                <w:rFonts w:ascii="Candara" w:eastAsia="Times New Roman" w:hAnsi="Candara" w:cs="Calibri"/>
                <w:b/>
                <w:bCs/>
                <w:color w:val="000000"/>
              </w:rPr>
            </w:pPr>
            <w:r w:rsidRPr="0016235B">
              <w:rPr>
                <w:rFonts w:ascii="Candara" w:eastAsia="Times New Roman" w:hAnsi="Candara" w:cs="Calibri"/>
                <w:b/>
                <w:bCs/>
                <w:color w:val="000000"/>
              </w:rPr>
              <w:t>7.8</w:t>
            </w:r>
          </w:p>
        </w:tc>
      </w:tr>
    </w:tbl>
    <w:p w14:paraId="3624B073" w14:textId="77777777" w:rsidR="007653D0" w:rsidRPr="0016235B" w:rsidRDefault="007653D0" w:rsidP="005722F2">
      <w:pPr>
        <w:pStyle w:val="ListParagraph"/>
        <w:numPr>
          <w:ilvl w:val="0"/>
          <w:numId w:val="33"/>
        </w:numPr>
        <w:rPr>
          <w:rFonts w:ascii="Candara" w:hAnsi="Candara"/>
        </w:rPr>
      </w:pPr>
      <w:r w:rsidRPr="0016235B">
        <w:rPr>
          <w:rFonts w:ascii="Candara" w:hAnsi="Candara"/>
        </w:rPr>
        <w:t>42.2% of the facilities had matching reporting figures.</w:t>
      </w:r>
    </w:p>
    <w:p w14:paraId="3891F8A8" w14:textId="77777777" w:rsidR="007653D0" w:rsidRPr="0016235B" w:rsidRDefault="007653D0" w:rsidP="005722F2">
      <w:pPr>
        <w:pStyle w:val="ListParagraph"/>
        <w:numPr>
          <w:ilvl w:val="0"/>
          <w:numId w:val="33"/>
        </w:numPr>
        <w:rPr>
          <w:rFonts w:ascii="Candara" w:hAnsi="Candara"/>
        </w:rPr>
      </w:pPr>
      <w:r w:rsidRPr="0016235B">
        <w:rPr>
          <w:rFonts w:ascii="Candara" w:hAnsi="Candara"/>
        </w:rPr>
        <w:t>42.2% of the facilities were over reporting while 15.6% were under reporting.</w:t>
      </w:r>
    </w:p>
    <w:p w14:paraId="52FD0671" w14:textId="77777777" w:rsidR="007653D0" w:rsidRPr="0016235B" w:rsidRDefault="007653D0" w:rsidP="005722F2">
      <w:pPr>
        <w:pStyle w:val="ListParagraph"/>
        <w:numPr>
          <w:ilvl w:val="0"/>
          <w:numId w:val="33"/>
        </w:numPr>
        <w:rPr>
          <w:rFonts w:ascii="Candara" w:hAnsi="Candara"/>
        </w:rPr>
      </w:pPr>
      <w:r w:rsidRPr="0016235B">
        <w:rPr>
          <w:rFonts w:ascii="Candara" w:hAnsi="Candara"/>
        </w:rPr>
        <w:t>32.8% of the facilities were over reporting by over 10% and 7.8% under reporting by over 10%.</w:t>
      </w:r>
    </w:p>
    <w:p w14:paraId="4FED0CD8" w14:textId="77777777" w:rsidR="007653D0" w:rsidRPr="0016235B" w:rsidRDefault="007653D0" w:rsidP="007653D0">
      <w:pPr>
        <w:jc w:val="both"/>
        <w:rPr>
          <w:rFonts w:ascii="Candara" w:hAnsi="Candara"/>
          <w:bCs/>
          <w:sz w:val="24"/>
          <w:szCs w:val="24"/>
        </w:rPr>
      </w:pPr>
    </w:p>
    <w:p w14:paraId="5412949B" w14:textId="77777777" w:rsidR="007653D0" w:rsidRPr="0016235B" w:rsidRDefault="007653D0" w:rsidP="007653D0">
      <w:pPr>
        <w:jc w:val="both"/>
        <w:rPr>
          <w:rFonts w:ascii="Candara" w:hAnsi="Candara"/>
          <w:bCs/>
          <w:sz w:val="24"/>
          <w:szCs w:val="24"/>
        </w:rPr>
      </w:pPr>
    </w:p>
    <w:p w14:paraId="67DBEBDA" w14:textId="77777777" w:rsidR="007653D0" w:rsidRPr="0016235B" w:rsidRDefault="007653D0" w:rsidP="007653D0">
      <w:pPr>
        <w:jc w:val="both"/>
        <w:rPr>
          <w:rFonts w:ascii="Candara" w:hAnsi="Candara"/>
          <w:bCs/>
          <w:sz w:val="24"/>
          <w:szCs w:val="24"/>
        </w:rPr>
      </w:pPr>
    </w:p>
    <w:p w14:paraId="7AF3F976" w14:textId="77777777" w:rsidR="007653D0" w:rsidRPr="0016235B" w:rsidRDefault="007653D0" w:rsidP="007653D0">
      <w:pPr>
        <w:jc w:val="both"/>
        <w:rPr>
          <w:rFonts w:ascii="Candara" w:hAnsi="Candara"/>
          <w:bCs/>
          <w:sz w:val="24"/>
          <w:szCs w:val="24"/>
        </w:rPr>
      </w:pPr>
    </w:p>
    <w:p w14:paraId="7CB619F3" w14:textId="77777777" w:rsidR="007653D0" w:rsidRPr="0016235B" w:rsidRDefault="007653D0" w:rsidP="007653D0">
      <w:pPr>
        <w:jc w:val="both"/>
        <w:rPr>
          <w:rFonts w:ascii="Candara" w:hAnsi="Candara"/>
          <w:bCs/>
          <w:sz w:val="24"/>
          <w:szCs w:val="24"/>
        </w:rPr>
      </w:pPr>
    </w:p>
    <w:p w14:paraId="710E89AB" w14:textId="77777777" w:rsidR="007653D0" w:rsidRPr="0016235B" w:rsidRDefault="007653D0" w:rsidP="007653D0">
      <w:pPr>
        <w:jc w:val="both"/>
        <w:rPr>
          <w:rFonts w:ascii="Candara" w:hAnsi="Candara"/>
          <w:bCs/>
          <w:sz w:val="24"/>
          <w:szCs w:val="24"/>
        </w:rPr>
      </w:pPr>
    </w:p>
    <w:p w14:paraId="55C451D7" w14:textId="77777777" w:rsidR="007653D0" w:rsidRPr="0016235B" w:rsidRDefault="007653D0" w:rsidP="007653D0">
      <w:pPr>
        <w:jc w:val="both"/>
        <w:rPr>
          <w:rFonts w:ascii="Candara" w:hAnsi="Candara"/>
          <w:bCs/>
          <w:sz w:val="24"/>
          <w:szCs w:val="24"/>
        </w:rPr>
      </w:pPr>
    </w:p>
    <w:p w14:paraId="67849486" w14:textId="77777777" w:rsidR="007653D0" w:rsidRPr="0016235B" w:rsidRDefault="007653D0" w:rsidP="00B8030E">
      <w:pPr>
        <w:pStyle w:val="Heading3"/>
        <w:rPr>
          <w:rFonts w:ascii="Candara" w:hAnsi="Candara"/>
          <w:b/>
        </w:rPr>
      </w:pPr>
      <w:bookmarkStart w:id="66" w:name="_Toc11494071"/>
      <w:r w:rsidRPr="0016235B">
        <w:rPr>
          <w:rFonts w:ascii="Candara" w:hAnsi="Candara"/>
          <w:b/>
        </w:rPr>
        <w:t>4.215 Malaria: Confirmed malaria cases</w:t>
      </w:r>
      <w:bookmarkEnd w:id="66"/>
      <w:r w:rsidRPr="0016235B">
        <w:rPr>
          <w:rFonts w:ascii="Candara" w:hAnsi="Candara"/>
          <w:b/>
        </w:rPr>
        <w:t xml:space="preserve"> </w:t>
      </w:r>
    </w:p>
    <w:p w14:paraId="6442B657" w14:textId="77777777" w:rsidR="007653D0" w:rsidRPr="0016235B" w:rsidRDefault="007653D0" w:rsidP="007653D0">
      <w:pPr>
        <w:jc w:val="both"/>
        <w:rPr>
          <w:rFonts w:ascii="Candara" w:hAnsi="Candara"/>
          <w:b/>
          <w:bCs/>
          <w:color w:val="FF0000"/>
          <w:sz w:val="24"/>
          <w:szCs w:val="24"/>
        </w:rPr>
      </w:pPr>
      <w:r w:rsidRPr="0016235B">
        <w:rPr>
          <w:rFonts w:ascii="Candara" w:hAnsi="Candara"/>
          <w:b/>
          <w:bCs/>
          <w:color w:val="FF0000"/>
          <w:sz w:val="24"/>
          <w:szCs w:val="24"/>
        </w:rPr>
        <w:t>Figure xxx: Percentage of facilities reporting on Malaria services to national HMIS</w:t>
      </w:r>
      <w:proofErr w:type="gramStart"/>
      <w:r w:rsidRPr="0016235B">
        <w:rPr>
          <w:rFonts w:ascii="Candara" w:hAnsi="Candara"/>
          <w:b/>
          <w:bCs/>
          <w:color w:val="FF0000"/>
          <w:sz w:val="24"/>
          <w:szCs w:val="24"/>
        </w:rPr>
        <w:t>…..</w:t>
      </w:r>
      <w:proofErr w:type="gramEnd"/>
      <w:r w:rsidRPr="0016235B">
        <w:rPr>
          <w:rFonts w:ascii="Candara" w:hAnsi="Candara"/>
          <w:b/>
          <w:bCs/>
          <w:color w:val="FF0000"/>
          <w:sz w:val="24"/>
          <w:szCs w:val="24"/>
        </w:rPr>
        <w:t>delete graph</w:t>
      </w:r>
    </w:p>
    <w:p w14:paraId="6E5A0364" w14:textId="77777777" w:rsidR="007653D0" w:rsidRPr="0016235B" w:rsidRDefault="007653D0" w:rsidP="007653D0">
      <w:pPr>
        <w:jc w:val="both"/>
        <w:rPr>
          <w:rFonts w:ascii="Candara" w:hAnsi="Candara"/>
          <w:b/>
          <w:bCs/>
          <w:sz w:val="24"/>
          <w:szCs w:val="24"/>
        </w:rPr>
      </w:pPr>
      <w:r w:rsidRPr="0016235B">
        <w:rPr>
          <w:rFonts w:ascii="Candara" w:hAnsi="Candara"/>
          <w:noProof/>
          <w:sz w:val="24"/>
          <w:szCs w:val="24"/>
        </w:rPr>
        <w:drawing>
          <wp:inline distT="0" distB="0" distL="0" distR="0" wp14:anchorId="379D34F8" wp14:editId="2505DD98">
            <wp:extent cx="5943600" cy="2425700"/>
            <wp:effectExtent l="0" t="0" r="0" b="12700"/>
            <wp:docPr id="39" name="Chart 39">
              <a:extLst xmlns:a="http://schemas.openxmlformats.org/drawingml/2006/main">
                <a:ext uri="{FF2B5EF4-FFF2-40B4-BE49-F238E27FC236}">
                  <a16:creationId xmlns:a16="http://schemas.microsoft.com/office/drawing/2014/main" id="{97795FF7-E7D0-4D03-BFC4-B5CC2CF701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p w14:paraId="0E4100BA"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Figure xxx: Availability of Malaria sources documents and reporting forms</w:t>
      </w:r>
    </w:p>
    <w:p w14:paraId="6EC59A89" w14:textId="77777777" w:rsidR="007653D0" w:rsidRPr="0016235B" w:rsidRDefault="007653D0" w:rsidP="007653D0">
      <w:pPr>
        <w:jc w:val="both"/>
        <w:rPr>
          <w:rFonts w:ascii="Candara" w:hAnsi="Candara"/>
          <w:sz w:val="24"/>
          <w:szCs w:val="24"/>
        </w:rPr>
      </w:pPr>
      <w:r w:rsidRPr="0016235B">
        <w:rPr>
          <w:rFonts w:ascii="Candara" w:hAnsi="Candara"/>
          <w:noProof/>
          <w:sz w:val="24"/>
          <w:szCs w:val="24"/>
        </w:rPr>
        <w:drawing>
          <wp:inline distT="0" distB="0" distL="0" distR="0" wp14:anchorId="6D12DF57" wp14:editId="080F059E">
            <wp:extent cx="5943600" cy="3086100"/>
            <wp:effectExtent l="0" t="0" r="0" b="0"/>
            <wp:docPr id="12" name="Chart 12">
              <a:extLst xmlns:a="http://schemas.openxmlformats.org/drawingml/2006/main">
                <a:ext uri="{FF2B5EF4-FFF2-40B4-BE49-F238E27FC236}">
                  <a16:creationId xmlns:a16="http://schemas.microsoft.com/office/drawing/2014/main" id="{BA6822C4-A9F4-42C5-9C03-CF005FD289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2DC6781A" w14:textId="77777777" w:rsidR="007653D0" w:rsidRPr="0016235B" w:rsidRDefault="007653D0" w:rsidP="005722F2">
      <w:pPr>
        <w:pStyle w:val="ListParagraph"/>
        <w:numPr>
          <w:ilvl w:val="0"/>
          <w:numId w:val="32"/>
        </w:numPr>
        <w:tabs>
          <w:tab w:val="left" w:pos="1170"/>
        </w:tabs>
        <w:jc w:val="both"/>
        <w:rPr>
          <w:rFonts w:ascii="Candara" w:hAnsi="Candara"/>
          <w:bCs/>
          <w:sz w:val="24"/>
          <w:szCs w:val="24"/>
        </w:rPr>
      </w:pPr>
      <w:r w:rsidRPr="0016235B">
        <w:rPr>
          <w:rFonts w:ascii="Candara" w:hAnsi="Candara"/>
          <w:bCs/>
          <w:sz w:val="24"/>
          <w:szCs w:val="24"/>
        </w:rPr>
        <w:t xml:space="preserve">All the facilities performed well with availability of source documents at above 90% apart from the national referrals which were at 90% </w:t>
      </w:r>
    </w:p>
    <w:p w14:paraId="31FA3A83" w14:textId="77777777" w:rsidR="007653D0" w:rsidRPr="0016235B" w:rsidRDefault="007653D0" w:rsidP="007653D0">
      <w:pPr>
        <w:tabs>
          <w:tab w:val="left" w:pos="1170"/>
        </w:tabs>
        <w:jc w:val="both"/>
        <w:rPr>
          <w:rFonts w:ascii="Candara" w:hAnsi="Candara"/>
          <w:bCs/>
          <w:sz w:val="24"/>
          <w:szCs w:val="24"/>
        </w:rPr>
      </w:pPr>
    </w:p>
    <w:p w14:paraId="67A38EDA" w14:textId="77777777" w:rsidR="007653D0" w:rsidRPr="0016235B" w:rsidRDefault="007653D0" w:rsidP="007653D0">
      <w:pPr>
        <w:tabs>
          <w:tab w:val="left" w:pos="1170"/>
        </w:tabs>
        <w:jc w:val="both"/>
        <w:rPr>
          <w:rFonts w:ascii="Candara" w:hAnsi="Candara"/>
          <w:bCs/>
          <w:sz w:val="24"/>
          <w:szCs w:val="24"/>
        </w:rPr>
      </w:pPr>
    </w:p>
    <w:p w14:paraId="08AC242E" w14:textId="77777777" w:rsidR="007653D0" w:rsidRPr="0016235B" w:rsidRDefault="007653D0" w:rsidP="007653D0">
      <w:pPr>
        <w:pStyle w:val="ListParagraph"/>
        <w:tabs>
          <w:tab w:val="left" w:pos="1170"/>
        </w:tabs>
        <w:jc w:val="both"/>
        <w:rPr>
          <w:rFonts w:ascii="Candara" w:hAnsi="Candara"/>
          <w:bCs/>
          <w:sz w:val="24"/>
          <w:szCs w:val="24"/>
        </w:rPr>
      </w:pPr>
    </w:p>
    <w:p w14:paraId="4EF4AA2A" w14:textId="77777777" w:rsidR="007653D0" w:rsidRPr="0016235B" w:rsidRDefault="007653D0" w:rsidP="007653D0">
      <w:pPr>
        <w:spacing w:after="0" w:line="240" w:lineRule="auto"/>
        <w:rPr>
          <w:rFonts w:ascii="Candara" w:eastAsia="Times New Roman" w:hAnsi="Candara" w:cs="Calibri"/>
          <w:b/>
          <w:bCs/>
          <w:color w:val="000000"/>
          <w:sz w:val="28"/>
          <w:szCs w:val="28"/>
        </w:rPr>
      </w:pPr>
      <w:r w:rsidRPr="0016235B">
        <w:rPr>
          <w:rFonts w:ascii="Candara" w:eastAsia="Times New Roman" w:hAnsi="Candara" w:cs="Calibri"/>
          <w:b/>
          <w:bCs/>
          <w:color w:val="000000"/>
          <w:sz w:val="28"/>
          <w:szCs w:val="28"/>
        </w:rPr>
        <w:t>Verification factor (ratio) for Malaria by key stratifying variables</w:t>
      </w:r>
    </w:p>
    <w:tbl>
      <w:tblPr>
        <w:tblW w:w="9734" w:type="dxa"/>
        <w:tblLook w:val="04A0" w:firstRow="1" w:lastRow="0" w:firstColumn="1" w:lastColumn="0" w:noHBand="0" w:noVBand="1"/>
      </w:tblPr>
      <w:tblGrid>
        <w:gridCol w:w="2260"/>
        <w:gridCol w:w="977"/>
        <w:gridCol w:w="1220"/>
        <w:gridCol w:w="1095"/>
        <w:gridCol w:w="1095"/>
        <w:gridCol w:w="960"/>
        <w:gridCol w:w="1120"/>
        <w:gridCol w:w="1095"/>
      </w:tblGrid>
      <w:tr w:rsidR="007653D0" w:rsidRPr="0016235B" w14:paraId="7700A77A" w14:textId="77777777" w:rsidTr="007653D0">
        <w:trPr>
          <w:trHeight w:val="1200"/>
        </w:trPr>
        <w:tc>
          <w:tcPr>
            <w:tcW w:w="2260" w:type="dxa"/>
            <w:tcBorders>
              <w:top w:val="nil"/>
              <w:left w:val="nil"/>
              <w:bottom w:val="nil"/>
              <w:right w:val="nil"/>
            </w:tcBorders>
            <w:shd w:val="clear" w:color="000000" w:fill="E7E6E6"/>
            <w:noWrap/>
            <w:vAlign w:val="bottom"/>
            <w:hideMark/>
          </w:tcPr>
          <w:p w14:paraId="1B30E29B"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Level</w:t>
            </w:r>
          </w:p>
        </w:tc>
        <w:tc>
          <w:tcPr>
            <w:tcW w:w="960" w:type="dxa"/>
            <w:tcBorders>
              <w:top w:val="nil"/>
              <w:left w:val="nil"/>
              <w:bottom w:val="nil"/>
              <w:right w:val="nil"/>
            </w:tcBorders>
            <w:shd w:val="clear" w:color="000000" w:fill="E7E6E6"/>
            <w:vAlign w:val="bottom"/>
            <w:hideMark/>
          </w:tcPr>
          <w:p w14:paraId="3D720384"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Number of facilities</w:t>
            </w:r>
          </w:p>
        </w:tc>
        <w:tc>
          <w:tcPr>
            <w:tcW w:w="1220" w:type="dxa"/>
            <w:tcBorders>
              <w:top w:val="nil"/>
              <w:left w:val="nil"/>
              <w:bottom w:val="nil"/>
              <w:right w:val="nil"/>
            </w:tcBorders>
            <w:shd w:val="clear" w:color="000000" w:fill="E7E6E6"/>
            <w:vAlign w:val="bottom"/>
            <w:hideMark/>
          </w:tcPr>
          <w:p w14:paraId="59FDA310" w14:textId="77777777" w:rsidR="007653D0" w:rsidRPr="0016235B" w:rsidRDefault="007653D0" w:rsidP="007653D0">
            <w:pPr>
              <w:spacing w:after="0" w:line="240" w:lineRule="auto"/>
              <w:jc w:val="right"/>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Verification factor</w:t>
            </w:r>
          </w:p>
        </w:tc>
        <w:tc>
          <w:tcPr>
            <w:tcW w:w="1054" w:type="dxa"/>
            <w:tcBorders>
              <w:top w:val="nil"/>
              <w:left w:val="nil"/>
              <w:bottom w:val="nil"/>
              <w:right w:val="nil"/>
            </w:tcBorders>
            <w:shd w:val="clear" w:color="000000" w:fill="E7E6E6"/>
            <w:vAlign w:val="bottom"/>
            <w:hideMark/>
          </w:tcPr>
          <w:p w14:paraId="72657AE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&gt;10% over reporting</w:t>
            </w:r>
          </w:p>
        </w:tc>
        <w:tc>
          <w:tcPr>
            <w:tcW w:w="1080" w:type="dxa"/>
            <w:tcBorders>
              <w:top w:val="nil"/>
              <w:left w:val="nil"/>
              <w:bottom w:val="nil"/>
              <w:right w:val="nil"/>
            </w:tcBorders>
            <w:shd w:val="clear" w:color="000000" w:fill="E7E6E6"/>
            <w:vAlign w:val="bottom"/>
            <w:hideMark/>
          </w:tcPr>
          <w:p w14:paraId="3A298EF8" w14:textId="4AF0B03C"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Up</w:t>
            </w:r>
            <w:r w:rsidR="00855812" w:rsidRPr="0016235B">
              <w:rPr>
                <w:rFonts w:ascii="Candara" w:eastAsia="Times New Roman" w:hAnsi="Candara" w:cs="Calibri"/>
                <w:color w:val="000000"/>
              </w:rPr>
              <w:t xml:space="preserve"> </w:t>
            </w:r>
            <w:r w:rsidRPr="0016235B">
              <w:rPr>
                <w:rFonts w:ascii="Candara" w:eastAsia="Times New Roman" w:hAnsi="Candara" w:cs="Calibri"/>
                <w:color w:val="000000"/>
              </w:rPr>
              <w:t>to 10% over reporting</w:t>
            </w:r>
          </w:p>
        </w:tc>
        <w:tc>
          <w:tcPr>
            <w:tcW w:w="960" w:type="dxa"/>
            <w:tcBorders>
              <w:top w:val="nil"/>
              <w:left w:val="nil"/>
              <w:bottom w:val="nil"/>
              <w:right w:val="nil"/>
            </w:tcBorders>
            <w:shd w:val="clear" w:color="000000" w:fill="E7E6E6"/>
            <w:vAlign w:val="bottom"/>
            <w:hideMark/>
          </w:tcPr>
          <w:p w14:paraId="675E94D6"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Match</w:t>
            </w:r>
          </w:p>
        </w:tc>
        <w:tc>
          <w:tcPr>
            <w:tcW w:w="1120" w:type="dxa"/>
            <w:tcBorders>
              <w:top w:val="nil"/>
              <w:left w:val="nil"/>
              <w:bottom w:val="nil"/>
              <w:right w:val="nil"/>
            </w:tcBorders>
            <w:shd w:val="clear" w:color="000000" w:fill="E7E6E6"/>
            <w:vAlign w:val="bottom"/>
            <w:hideMark/>
          </w:tcPr>
          <w:p w14:paraId="3280C04B" w14:textId="0EA5C025"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Up</w:t>
            </w:r>
            <w:r w:rsidR="00855812" w:rsidRPr="0016235B">
              <w:rPr>
                <w:rFonts w:ascii="Candara" w:eastAsia="Times New Roman" w:hAnsi="Candara" w:cs="Calibri"/>
                <w:color w:val="000000"/>
              </w:rPr>
              <w:t xml:space="preserve"> </w:t>
            </w:r>
            <w:r w:rsidRPr="0016235B">
              <w:rPr>
                <w:rFonts w:ascii="Candara" w:eastAsia="Times New Roman" w:hAnsi="Candara" w:cs="Calibri"/>
                <w:color w:val="000000"/>
              </w:rPr>
              <w:t>to 10% under reporting</w:t>
            </w:r>
          </w:p>
        </w:tc>
        <w:tc>
          <w:tcPr>
            <w:tcW w:w="1080" w:type="dxa"/>
            <w:tcBorders>
              <w:top w:val="nil"/>
              <w:left w:val="nil"/>
              <w:bottom w:val="nil"/>
              <w:right w:val="nil"/>
            </w:tcBorders>
            <w:shd w:val="clear" w:color="000000" w:fill="E7E6E6"/>
            <w:vAlign w:val="bottom"/>
            <w:hideMark/>
          </w:tcPr>
          <w:p w14:paraId="105DBBF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&gt;10% under reporting</w:t>
            </w:r>
          </w:p>
        </w:tc>
      </w:tr>
      <w:tr w:rsidR="007653D0" w:rsidRPr="0016235B" w14:paraId="6CE2F5B6" w14:textId="77777777" w:rsidTr="007653D0">
        <w:trPr>
          <w:trHeight w:val="300"/>
        </w:trPr>
        <w:tc>
          <w:tcPr>
            <w:tcW w:w="2260" w:type="dxa"/>
            <w:tcBorders>
              <w:top w:val="nil"/>
              <w:left w:val="nil"/>
              <w:bottom w:val="nil"/>
              <w:right w:val="nil"/>
            </w:tcBorders>
            <w:shd w:val="clear" w:color="auto" w:fill="auto"/>
            <w:noWrap/>
            <w:vAlign w:val="bottom"/>
            <w:hideMark/>
          </w:tcPr>
          <w:p w14:paraId="6F25EEBA"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Regional Hospital</w:t>
            </w:r>
          </w:p>
        </w:tc>
        <w:tc>
          <w:tcPr>
            <w:tcW w:w="960" w:type="dxa"/>
            <w:tcBorders>
              <w:top w:val="nil"/>
              <w:left w:val="nil"/>
              <w:bottom w:val="nil"/>
              <w:right w:val="nil"/>
            </w:tcBorders>
            <w:shd w:val="clear" w:color="auto" w:fill="auto"/>
            <w:noWrap/>
            <w:vAlign w:val="bottom"/>
            <w:hideMark/>
          </w:tcPr>
          <w:p w14:paraId="1D4435B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w:t>
            </w:r>
          </w:p>
        </w:tc>
        <w:tc>
          <w:tcPr>
            <w:tcW w:w="1220" w:type="dxa"/>
            <w:tcBorders>
              <w:top w:val="nil"/>
              <w:left w:val="nil"/>
              <w:bottom w:val="nil"/>
              <w:right w:val="nil"/>
            </w:tcBorders>
            <w:shd w:val="clear" w:color="auto" w:fill="auto"/>
            <w:noWrap/>
            <w:vAlign w:val="bottom"/>
            <w:hideMark/>
          </w:tcPr>
          <w:p w14:paraId="5CCD160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0.73</w:t>
            </w:r>
          </w:p>
        </w:tc>
        <w:tc>
          <w:tcPr>
            <w:tcW w:w="1054" w:type="dxa"/>
            <w:tcBorders>
              <w:top w:val="nil"/>
              <w:left w:val="nil"/>
              <w:bottom w:val="nil"/>
              <w:right w:val="nil"/>
            </w:tcBorders>
            <w:shd w:val="clear" w:color="auto" w:fill="auto"/>
            <w:noWrap/>
            <w:vAlign w:val="bottom"/>
            <w:hideMark/>
          </w:tcPr>
          <w:p w14:paraId="42D2EA0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1080" w:type="dxa"/>
            <w:tcBorders>
              <w:top w:val="nil"/>
              <w:left w:val="nil"/>
              <w:bottom w:val="nil"/>
              <w:right w:val="nil"/>
            </w:tcBorders>
            <w:shd w:val="clear" w:color="auto" w:fill="auto"/>
            <w:noWrap/>
            <w:vAlign w:val="bottom"/>
            <w:hideMark/>
          </w:tcPr>
          <w:p w14:paraId="3067EB9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960" w:type="dxa"/>
            <w:tcBorders>
              <w:top w:val="nil"/>
              <w:left w:val="nil"/>
              <w:bottom w:val="nil"/>
              <w:right w:val="nil"/>
            </w:tcBorders>
            <w:shd w:val="clear" w:color="auto" w:fill="auto"/>
            <w:noWrap/>
            <w:vAlign w:val="bottom"/>
            <w:hideMark/>
          </w:tcPr>
          <w:p w14:paraId="1DC53D9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c>
          <w:tcPr>
            <w:tcW w:w="1120" w:type="dxa"/>
            <w:tcBorders>
              <w:top w:val="nil"/>
              <w:left w:val="nil"/>
              <w:bottom w:val="nil"/>
              <w:right w:val="nil"/>
            </w:tcBorders>
            <w:shd w:val="clear" w:color="auto" w:fill="auto"/>
            <w:noWrap/>
            <w:vAlign w:val="bottom"/>
            <w:hideMark/>
          </w:tcPr>
          <w:p w14:paraId="32D9C0B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80" w:type="dxa"/>
            <w:tcBorders>
              <w:top w:val="nil"/>
              <w:left w:val="nil"/>
              <w:bottom w:val="nil"/>
              <w:right w:val="nil"/>
            </w:tcBorders>
            <w:shd w:val="clear" w:color="auto" w:fill="auto"/>
            <w:noWrap/>
            <w:vAlign w:val="bottom"/>
            <w:hideMark/>
          </w:tcPr>
          <w:p w14:paraId="66C3496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16.7</w:t>
            </w:r>
          </w:p>
        </w:tc>
      </w:tr>
      <w:tr w:rsidR="007653D0" w:rsidRPr="0016235B" w14:paraId="0CD4E4F8" w14:textId="77777777" w:rsidTr="007653D0">
        <w:trPr>
          <w:trHeight w:val="300"/>
        </w:trPr>
        <w:tc>
          <w:tcPr>
            <w:tcW w:w="2260" w:type="dxa"/>
            <w:tcBorders>
              <w:top w:val="nil"/>
              <w:left w:val="nil"/>
              <w:bottom w:val="nil"/>
              <w:right w:val="nil"/>
            </w:tcBorders>
            <w:shd w:val="clear" w:color="auto" w:fill="auto"/>
            <w:noWrap/>
            <w:vAlign w:val="bottom"/>
            <w:hideMark/>
          </w:tcPr>
          <w:p w14:paraId="59F9416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General Hospital</w:t>
            </w:r>
          </w:p>
        </w:tc>
        <w:tc>
          <w:tcPr>
            <w:tcW w:w="960" w:type="dxa"/>
            <w:tcBorders>
              <w:top w:val="nil"/>
              <w:left w:val="nil"/>
              <w:bottom w:val="nil"/>
              <w:right w:val="nil"/>
            </w:tcBorders>
            <w:shd w:val="clear" w:color="auto" w:fill="auto"/>
            <w:noWrap/>
            <w:vAlign w:val="bottom"/>
            <w:hideMark/>
          </w:tcPr>
          <w:p w14:paraId="4A4ED0A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w:t>
            </w:r>
          </w:p>
        </w:tc>
        <w:tc>
          <w:tcPr>
            <w:tcW w:w="1220" w:type="dxa"/>
            <w:tcBorders>
              <w:top w:val="nil"/>
              <w:left w:val="nil"/>
              <w:bottom w:val="nil"/>
              <w:right w:val="nil"/>
            </w:tcBorders>
            <w:shd w:val="clear" w:color="auto" w:fill="auto"/>
            <w:noWrap/>
            <w:vAlign w:val="bottom"/>
            <w:hideMark/>
          </w:tcPr>
          <w:p w14:paraId="4CA868E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1.17</w:t>
            </w:r>
          </w:p>
        </w:tc>
        <w:tc>
          <w:tcPr>
            <w:tcW w:w="1054" w:type="dxa"/>
            <w:tcBorders>
              <w:top w:val="nil"/>
              <w:left w:val="nil"/>
              <w:bottom w:val="nil"/>
              <w:right w:val="nil"/>
            </w:tcBorders>
            <w:shd w:val="clear" w:color="auto" w:fill="auto"/>
            <w:noWrap/>
            <w:vAlign w:val="bottom"/>
            <w:hideMark/>
          </w:tcPr>
          <w:p w14:paraId="73CCF02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40.9</w:t>
            </w:r>
          </w:p>
        </w:tc>
        <w:tc>
          <w:tcPr>
            <w:tcW w:w="1080" w:type="dxa"/>
            <w:tcBorders>
              <w:top w:val="nil"/>
              <w:left w:val="nil"/>
              <w:bottom w:val="nil"/>
              <w:right w:val="nil"/>
            </w:tcBorders>
            <w:shd w:val="clear" w:color="auto" w:fill="auto"/>
            <w:noWrap/>
            <w:vAlign w:val="bottom"/>
            <w:hideMark/>
          </w:tcPr>
          <w:p w14:paraId="1827107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13.6</w:t>
            </w:r>
          </w:p>
        </w:tc>
        <w:tc>
          <w:tcPr>
            <w:tcW w:w="960" w:type="dxa"/>
            <w:tcBorders>
              <w:top w:val="nil"/>
              <w:left w:val="nil"/>
              <w:bottom w:val="nil"/>
              <w:right w:val="nil"/>
            </w:tcBorders>
            <w:shd w:val="clear" w:color="auto" w:fill="auto"/>
            <w:noWrap/>
            <w:vAlign w:val="bottom"/>
            <w:hideMark/>
          </w:tcPr>
          <w:p w14:paraId="2DB08E5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22.7</w:t>
            </w:r>
          </w:p>
        </w:tc>
        <w:tc>
          <w:tcPr>
            <w:tcW w:w="1120" w:type="dxa"/>
            <w:tcBorders>
              <w:top w:val="nil"/>
              <w:left w:val="nil"/>
              <w:bottom w:val="nil"/>
              <w:right w:val="nil"/>
            </w:tcBorders>
            <w:shd w:val="clear" w:color="auto" w:fill="auto"/>
            <w:noWrap/>
            <w:vAlign w:val="bottom"/>
            <w:hideMark/>
          </w:tcPr>
          <w:p w14:paraId="6950530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4.6</w:t>
            </w:r>
          </w:p>
        </w:tc>
        <w:tc>
          <w:tcPr>
            <w:tcW w:w="1080" w:type="dxa"/>
            <w:tcBorders>
              <w:top w:val="nil"/>
              <w:left w:val="nil"/>
              <w:bottom w:val="nil"/>
              <w:right w:val="nil"/>
            </w:tcBorders>
            <w:shd w:val="clear" w:color="auto" w:fill="auto"/>
            <w:noWrap/>
            <w:vAlign w:val="bottom"/>
            <w:hideMark/>
          </w:tcPr>
          <w:p w14:paraId="498EF83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18.2</w:t>
            </w:r>
          </w:p>
        </w:tc>
      </w:tr>
      <w:tr w:rsidR="007653D0" w:rsidRPr="0016235B" w14:paraId="45666F48" w14:textId="77777777" w:rsidTr="007653D0">
        <w:trPr>
          <w:trHeight w:val="300"/>
        </w:trPr>
        <w:tc>
          <w:tcPr>
            <w:tcW w:w="2260" w:type="dxa"/>
            <w:tcBorders>
              <w:top w:val="nil"/>
              <w:left w:val="nil"/>
              <w:bottom w:val="nil"/>
              <w:right w:val="nil"/>
            </w:tcBorders>
            <w:shd w:val="clear" w:color="auto" w:fill="auto"/>
            <w:noWrap/>
            <w:vAlign w:val="bottom"/>
            <w:hideMark/>
          </w:tcPr>
          <w:p w14:paraId="5E60BE28"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IV</w:t>
            </w:r>
          </w:p>
        </w:tc>
        <w:tc>
          <w:tcPr>
            <w:tcW w:w="960" w:type="dxa"/>
            <w:tcBorders>
              <w:top w:val="nil"/>
              <w:left w:val="nil"/>
              <w:bottom w:val="nil"/>
              <w:right w:val="nil"/>
            </w:tcBorders>
            <w:shd w:val="clear" w:color="auto" w:fill="auto"/>
            <w:noWrap/>
            <w:vAlign w:val="bottom"/>
            <w:hideMark/>
          </w:tcPr>
          <w:p w14:paraId="406BE9F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w:t>
            </w:r>
          </w:p>
        </w:tc>
        <w:tc>
          <w:tcPr>
            <w:tcW w:w="1220" w:type="dxa"/>
            <w:tcBorders>
              <w:top w:val="nil"/>
              <w:left w:val="nil"/>
              <w:bottom w:val="nil"/>
              <w:right w:val="nil"/>
            </w:tcBorders>
            <w:shd w:val="clear" w:color="auto" w:fill="auto"/>
            <w:noWrap/>
            <w:vAlign w:val="bottom"/>
            <w:hideMark/>
          </w:tcPr>
          <w:p w14:paraId="06FC402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0.94</w:t>
            </w:r>
          </w:p>
        </w:tc>
        <w:tc>
          <w:tcPr>
            <w:tcW w:w="1054" w:type="dxa"/>
            <w:tcBorders>
              <w:top w:val="nil"/>
              <w:left w:val="nil"/>
              <w:bottom w:val="nil"/>
              <w:right w:val="nil"/>
            </w:tcBorders>
            <w:shd w:val="clear" w:color="auto" w:fill="auto"/>
            <w:noWrap/>
            <w:vAlign w:val="bottom"/>
            <w:hideMark/>
          </w:tcPr>
          <w:p w14:paraId="1635658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42.9</w:t>
            </w:r>
          </w:p>
        </w:tc>
        <w:tc>
          <w:tcPr>
            <w:tcW w:w="1080" w:type="dxa"/>
            <w:tcBorders>
              <w:top w:val="nil"/>
              <w:left w:val="nil"/>
              <w:bottom w:val="nil"/>
              <w:right w:val="nil"/>
            </w:tcBorders>
            <w:shd w:val="clear" w:color="auto" w:fill="auto"/>
            <w:noWrap/>
            <w:vAlign w:val="bottom"/>
            <w:hideMark/>
          </w:tcPr>
          <w:p w14:paraId="19845AE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960" w:type="dxa"/>
            <w:tcBorders>
              <w:top w:val="nil"/>
              <w:left w:val="nil"/>
              <w:bottom w:val="nil"/>
              <w:right w:val="nil"/>
            </w:tcBorders>
            <w:shd w:val="clear" w:color="auto" w:fill="auto"/>
            <w:noWrap/>
            <w:vAlign w:val="bottom"/>
            <w:hideMark/>
          </w:tcPr>
          <w:p w14:paraId="059F797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9.5</w:t>
            </w:r>
          </w:p>
        </w:tc>
        <w:tc>
          <w:tcPr>
            <w:tcW w:w="1120" w:type="dxa"/>
            <w:tcBorders>
              <w:top w:val="nil"/>
              <w:left w:val="nil"/>
              <w:bottom w:val="nil"/>
              <w:right w:val="nil"/>
            </w:tcBorders>
            <w:shd w:val="clear" w:color="auto" w:fill="auto"/>
            <w:noWrap/>
            <w:vAlign w:val="bottom"/>
            <w:hideMark/>
          </w:tcPr>
          <w:p w14:paraId="5203197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80" w:type="dxa"/>
            <w:tcBorders>
              <w:top w:val="nil"/>
              <w:left w:val="nil"/>
              <w:bottom w:val="nil"/>
              <w:right w:val="nil"/>
            </w:tcBorders>
            <w:shd w:val="clear" w:color="auto" w:fill="auto"/>
            <w:noWrap/>
            <w:vAlign w:val="bottom"/>
            <w:hideMark/>
          </w:tcPr>
          <w:p w14:paraId="5BF4477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19.1</w:t>
            </w:r>
          </w:p>
        </w:tc>
      </w:tr>
      <w:tr w:rsidR="007653D0" w:rsidRPr="0016235B" w14:paraId="0C459B02" w14:textId="77777777" w:rsidTr="007653D0">
        <w:trPr>
          <w:trHeight w:val="300"/>
        </w:trPr>
        <w:tc>
          <w:tcPr>
            <w:tcW w:w="2260" w:type="dxa"/>
            <w:tcBorders>
              <w:top w:val="nil"/>
              <w:left w:val="nil"/>
              <w:bottom w:val="nil"/>
              <w:right w:val="nil"/>
            </w:tcBorders>
            <w:shd w:val="clear" w:color="auto" w:fill="auto"/>
            <w:noWrap/>
            <w:vAlign w:val="bottom"/>
            <w:hideMark/>
          </w:tcPr>
          <w:p w14:paraId="05C7E8D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III</w:t>
            </w:r>
          </w:p>
        </w:tc>
        <w:tc>
          <w:tcPr>
            <w:tcW w:w="960" w:type="dxa"/>
            <w:tcBorders>
              <w:top w:val="nil"/>
              <w:left w:val="nil"/>
              <w:bottom w:val="nil"/>
              <w:right w:val="nil"/>
            </w:tcBorders>
            <w:shd w:val="clear" w:color="auto" w:fill="auto"/>
            <w:noWrap/>
            <w:vAlign w:val="bottom"/>
            <w:hideMark/>
          </w:tcPr>
          <w:p w14:paraId="613C1EC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w:t>
            </w:r>
          </w:p>
        </w:tc>
        <w:tc>
          <w:tcPr>
            <w:tcW w:w="1220" w:type="dxa"/>
            <w:tcBorders>
              <w:top w:val="nil"/>
              <w:left w:val="nil"/>
              <w:bottom w:val="nil"/>
              <w:right w:val="nil"/>
            </w:tcBorders>
            <w:shd w:val="clear" w:color="auto" w:fill="auto"/>
            <w:noWrap/>
            <w:vAlign w:val="bottom"/>
            <w:hideMark/>
          </w:tcPr>
          <w:p w14:paraId="5A7490C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1.80</w:t>
            </w:r>
          </w:p>
        </w:tc>
        <w:tc>
          <w:tcPr>
            <w:tcW w:w="1054" w:type="dxa"/>
            <w:tcBorders>
              <w:top w:val="nil"/>
              <w:left w:val="nil"/>
              <w:bottom w:val="nil"/>
              <w:right w:val="nil"/>
            </w:tcBorders>
            <w:shd w:val="clear" w:color="auto" w:fill="auto"/>
            <w:noWrap/>
            <w:vAlign w:val="bottom"/>
            <w:hideMark/>
          </w:tcPr>
          <w:p w14:paraId="44E2104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32.4</w:t>
            </w:r>
          </w:p>
        </w:tc>
        <w:tc>
          <w:tcPr>
            <w:tcW w:w="1080" w:type="dxa"/>
            <w:tcBorders>
              <w:top w:val="nil"/>
              <w:left w:val="nil"/>
              <w:bottom w:val="nil"/>
              <w:right w:val="nil"/>
            </w:tcBorders>
            <w:shd w:val="clear" w:color="auto" w:fill="auto"/>
            <w:noWrap/>
            <w:vAlign w:val="bottom"/>
            <w:hideMark/>
          </w:tcPr>
          <w:p w14:paraId="2F968D2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13.5</w:t>
            </w:r>
          </w:p>
        </w:tc>
        <w:tc>
          <w:tcPr>
            <w:tcW w:w="960" w:type="dxa"/>
            <w:tcBorders>
              <w:top w:val="nil"/>
              <w:left w:val="nil"/>
              <w:bottom w:val="nil"/>
              <w:right w:val="nil"/>
            </w:tcBorders>
            <w:shd w:val="clear" w:color="auto" w:fill="auto"/>
            <w:noWrap/>
            <w:vAlign w:val="bottom"/>
            <w:hideMark/>
          </w:tcPr>
          <w:p w14:paraId="3DB17DC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18.9</w:t>
            </w:r>
          </w:p>
        </w:tc>
        <w:tc>
          <w:tcPr>
            <w:tcW w:w="1120" w:type="dxa"/>
            <w:tcBorders>
              <w:top w:val="nil"/>
              <w:left w:val="nil"/>
              <w:bottom w:val="nil"/>
              <w:right w:val="nil"/>
            </w:tcBorders>
            <w:shd w:val="clear" w:color="auto" w:fill="auto"/>
            <w:noWrap/>
            <w:vAlign w:val="bottom"/>
            <w:hideMark/>
          </w:tcPr>
          <w:p w14:paraId="5D3279F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21.6</w:t>
            </w:r>
          </w:p>
        </w:tc>
        <w:tc>
          <w:tcPr>
            <w:tcW w:w="1080" w:type="dxa"/>
            <w:tcBorders>
              <w:top w:val="nil"/>
              <w:left w:val="nil"/>
              <w:bottom w:val="nil"/>
              <w:right w:val="nil"/>
            </w:tcBorders>
            <w:shd w:val="clear" w:color="auto" w:fill="auto"/>
            <w:noWrap/>
            <w:vAlign w:val="bottom"/>
            <w:hideMark/>
          </w:tcPr>
          <w:p w14:paraId="747D76D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13.5</w:t>
            </w:r>
          </w:p>
        </w:tc>
      </w:tr>
      <w:tr w:rsidR="007653D0" w:rsidRPr="0016235B" w14:paraId="3B077ACC" w14:textId="77777777" w:rsidTr="007653D0">
        <w:trPr>
          <w:trHeight w:val="300"/>
        </w:trPr>
        <w:tc>
          <w:tcPr>
            <w:tcW w:w="2260" w:type="dxa"/>
            <w:tcBorders>
              <w:top w:val="nil"/>
              <w:left w:val="nil"/>
              <w:bottom w:val="nil"/>
              <w:right w:val="nil"/>
            </w:tcBorders>
            <w:shd w:val="clear" w:color="auto" w:fill="auto"/>
            <w:noWrap/>
            <w:vAlign w:val="bottom"/>
            <w:hideMark/>
          </w:tcPr>
          <w:p w14:paraId="6558617C"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HC II</w:t>
            </w:r>
          </w:p>
        </w:tc>
        <w:tc>
          <w:tcPr>
            <w:tcW w:w="960" w:type="dxa"/>
            <w:tcBorders>
              <w:top w:val="nil"/>
              <w:left w:val="nil"/>
              <w:bottom w:val="nil"/>
              <w:right w:val="nil"/>
            </w:tcBorders>
            <w:shd w:val="clear" w:color="auto" w:fill="auto"/>
            <w:noWrap/>
            <w:vAlign w:val="bottom"/>
            <w:hideMark/>
          </w:tcPr>
          <w:p w14:paraId="0AA0B00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32</w:t>
            </w:r>
          </w:p>
        </w:tc>
        <w:tc>
          <w:tcPr>
            <w:tcW w:w="1220" w:type="dxa"/>
            <w:tcBorders>
              <w:top w:val="nil"/>
              <w:left w:val="nil"/>
              <w:bottom w:val="nil"/>
              <w:right w:val="nil"/>
            </w:tcBorders>
            <w:shd w:val="clear" w:color="auto" w:fill="auto"/>
            <w:noWrap/>
            <w:vAlign w:val="bottom"/>
            <w:hideMark/>
          </w:tcPr>
          <w:p w14:paraId="518D0E0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0.87</w:t>
            </w:r>
          </w:p>
        </w:tc>
        <w:tc>
          <w:tcPr>
            <w:tcW w:w="1054" w:type="dxa"/>
            <w:tcBorders>
              <w:top w:val="nil"/>
              <w:left w:val="nil"/>
              <w:bottom w:val="nil"/>
              <w:right w:val="nil"/>
            </w:tcBorders>
            <w:shd w:val="clear" w:color="auto" w:fill="auto"/>
            <w:noWrap/>
            <w:vAlign w:val="bottom"/>
            <w:hideMark/>
          </w:tcPr>
          <w:p w14:paraId="2B5FD91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31.3</w:t>
            </w:r>
          </w:p>
        </w:tc>
        <w:tc>
          <w:tcPr>
            <w:tcW w:w="1080" w:type="dxa"/>
            <w:tcBorders>
              <w:top w:val="nil"/>
              <w:left w:val="nil"/>
              <w:bottom w:val="nil"/>
              <w:right w:val="nil"/>
            </w:tcBorders>
            <w:shd w:val="clear" w:color="auto" w:fill="auto"/>
            <w:noWrap/>
            <w:vAlign w:val="bottom"/>
            <w:hideMark/>
          </w:tcPr>
          <w:p w14:paraId="17182A3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21.9</w:t>
            </w:r>
          </w:p>
        </w:tc>
        <w:tc>
          <w:tcPr>
            <w:tcW w:w="960" w:type="dxa"/>
            <w:tcBorders>
              <w:top w:val="nil"/>
              <w:left w:val="nil"/>
              <w:bottom w:val="nil"/>
              <w:right w:val="nil"/>
            </w:tcBorders>
            <w:shd w:val="clear" w:color="auto" w:fill="auto"/>
            <w:noWrap/>
            <w:vAlign w:val="bottom"/>
            <w:hideMark/>
          </w:tcPr>
          <w:p w14:paraId="15173D5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21.9</w:t>
            </w:r>
          </w:p>
        </w:tc>
        <w:tc>
          <w:tcPr>
            <w:tcW w:w="1120" w:type="dxa"/>
            <w:tcBorders>
              <w:top w:val="nil"/>
              <w:left w:val="nil"/>
              <w:bottom w:val="nil"/>
              <w:right w:val="nil"/>
            </w:tcBorders>
            <w:shd w:val="clear" w:color="auto" w:fill="auto"/>
            <w:noWrap/>
            <w:vAlign w:val="bottom"/>
            <w:hideMark/>
          </w:tcPr>
          <w:p w14:paraId="37982A0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15.6</w:t>
            </w:r>
          </w:p>
        </w:tc>
        <w:tc>
          <w:tcPr>
            <w:tcW w:w="1080" w:type="dxa"/>
            <w:tcBorders>
              <w:top w:val="nil"/>
              <w:left w:val="nil"/>
              <w:bottom w:val="nil"/>
              <w:right w:val="nil"/>
            </w:tcBorders>
            <w:shd w:val="clear" w:color="auto" w:fill="auto"/>
            <w:noWrap/>
            <w:vAlign w:val="bottom"/>
            <w:hideMark/>
          </w:tcPr>
          <w:p w14:paraId="639089E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9.4</w:t>
            </w:r>
          </w:p>
        </w:tc>
      </w:tr>
      <w:tr w:rsidR="007653D0" w:rsidRPr="0016235B" w14:paraId="2E1A606A" w14:textId="77777777" w:rsidTr="007653D0">
        <w:trPr>
          <w:trHeight w:val="300"/>
        </w:trPr>
        <w:tc>
          <w:tcPr>
            <w:tcW w:w="2260" w:type="dxa"/>
            <w:tcBorders>
              <w:top w:val="nil"/>
              <w:left w:val="nil"/>
              <w:bottom w:val="nil"/>
              <w:right w:val="nil"/>
            </w:tcBorders>
            <w:shd w:val="clear" w:color="000000" w:fill="E7E6E6"/>
            <w:noWrap/>
            <w:vAlign w:val="bottom"/>
            <w:hideMark/>
          </w:tcPr>
          <w:p w14:paraId="28FEC511"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Managing Authority</w:t>
            </w:r>
          </w:p>
        </w:tc>
        <w:tc>
          <w:tcPr>
            <w:tcW w:w="960" w:type="dxa"/>
            <w:tcBorders>
              <w:top w:val="nil"/>
              <w:left w:val="nil"/>
              <w:bottom w:val="nil"/>
              <w:right w:val="nil"/>
            </w:tcBorders>
            <w:shd w:val="clear" w:color="000000" w:fill="E7E6E6"/>
            <w:noWrap/>
            <w:vAlign w:val="bottom"/>
            <w:hideMark/>
          </w:tcPr>
          <w:p w14:paraId="50DAF8AA"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220" w:type="dxa"/>
            <w:tcBorders>
              <w:top w:val="nil"/>
              <w:left w:val="nil"/>
              <w:bottom w:val="nil"/>
              <w:right w:val="nil"/>
            </w:tcBorders>
            <w:shd w:val="clear" w:color="000000" w:fill="E7E6E6"/>
            <w:noWrap/>
            <w:vAlign w:val="bottom"/>
            <w:hideMark/>
          </w:tcPr>
          <w:p w14:paraId="7B826347"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54" w:type="dxa"/>
            <w:tcBorders>
              <w:top w:val="nil"/>
              <w:left w:val="nil"/>
              <w:bottom w:val="nil"/>
              <w:right w:val="nil"/>
            </w:tcBorders>
            <w:shd w:val="clear" w:color="000000" w:fill="E7E6E6"/>
            <w:noWrap/>
            <w:vAlign w:val="bottom"/>
            <w:hideMark/>
          </w:tcPr>
          <w:p w14:paraId="54278C9C"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80" w:type="dxa"/>
            <w:tcBorders>
              <w:top w:val="nil"/>
              <w:left w:val="nil"/>
              <w:bottom w:val="nil"/>
              <w:right w:val="nil"/>
            </w:tcBorders>
            <w:shd w:val="clear" w:color="000000" w:fill="E7E6E6"/>
            <w:noWrap/>
            <w:vAlign w:val="bottom"/>
            <w:hideMark/>
          </w:tcPr>
          <w:p w14:paraId="0C4A1338"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10CFF6F5"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120" w:type="dxa"/>
            <w:tcBorders>
              <w:top w:val="nil"/>
              <w:left w:val="nil"/>
              <w:bottom w:val="nil"/>
              <w:right w:val="nil"/>
            </w:tcBorders>
            <w:shd w:val="clear" w:color="000000" w:fill="E7E6E6"/>
            <w:noWrap/>
            <w:vAlign w:val="bottom"/>
            <w:hideMark/>
          </w:tcPr>
          <w:p w14:paraId="1541BD8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80" w:type="dxa"/>
            <w:tcBorders>
              <w:top w:val="nil"/>
              <w:left w:val="nil"/>
              <w:bottom w:val="nil"/>
              <w:right w:val="nil"/>
            </w:tcBorders>
            <w:shd w:val="clear" w:color="000000" w:fill="E7E6E6"/>
            <w:noWrap/>
            <w:vAlign w:val="bottom"/>
            <w:hideMark/>
          </w:tcPr>
          <w:p w14:paraId="16113B3D"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487F6C2F" w14:textId="77777777" w:rsidTr="007653D0">
        <w:trPr>
          <w:trHeight w:val="300"/>
        </w:trPr>
        <w:tc>
          <w:tcPr>
            <w:tcW w:w="2260" w:type="dxa"/>
            <w:tcBorders>
              <w:top w:val="nil"/>
              <w:left w:val="nil"/>
              <w:bottom w:val="nil"/>
              <w:right w:val="nil"/>
            </w:tcBorders>
            <w:shd w:val="clear" w:color="auto" w:fill="auto"/>
            <w:noWrap/>
            <w:vAlign w:val="bottom"/>
            <w:hideMark/>
          </w:tcPr>
          <w:p w14:paraId="44F18066"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Public/G</w:t>
            </w:r>
          </w:p>
        </w:tc>
        <w:tc>
          <w:tcPr>
            <w:tcW w:w="960" w:type="dxa"/>
            <w:tcBorders>
              <w:top w:val="nil"/>
              <w:left w:val="nil"/>
              <w:bottom w:val="nil"/>
              <w:right w:val="nil"/>
            </w:tcBorders>
            <w:shd w:val="clear" w:color="auto" w:fill="auto"/>
            <w:noWrap/>
            <w:vAlign w:val="bottom"/>
            <w:hideMark/>
          </w:tcPr>
          <w:p w14:paraId="7FD7A43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73</w:t>
            </w:r>
          </w:p>
        </w:tc>
        <w:tc>
          <w:tcPr>
            <w:tcW w:w="1220" w:type="dxa"/>
            <w:tcBorders>
              <w:top w:val="nil"/>
              <w:left w:val="nil"/>
              <w:bottom w:val="nil"/>
              <w:right w:val="nil"/>
            </w:tcBorders>
            <w:shd w:val="clear" w:color="auto" w:fill="auto"/>
            <w:noWrap/>
            <w:vAlign w:val="bottom"/>
            <w:hideMark/>
          </w:tcPr>
          <w:p w14:paraId="0EC4BA8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1.39</w:t>
            </w:r>
          </w:p>
        </w:tc>
        <w:tc>
          <w:tcPr>
            <w:tcW w:w="1054" w:type="dxa"/>
            <w:tcBorders>
              <w:top w:val="nil"/>
              <w:left w:val="nil"/>
              <w:bottom w:val="nil"/>
              <w:right w:val="nil"/>
            </w:tcBorders>
            <w:shd w:val="clear" w:color="auto" w:fill="auto"/>
            <w:noWrap/>
            <w:vAlign w:val="bottom"/>
            <w:hideMark/>
          </w:tcPr>
          <w:p w14:paraId="2C34F5B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32.9</w:t>
            </w:r>
          </w:p>
        </w:tc>
        <w:tc>
          <w:tcPr>
            <w:tcW w:w="1080" w:type="dxa"/>
            <w:tcBorders>
              <w:top w:val="nil"/>
              <w:left w:val="nil"/>
              <w:bottom w:val="nil"/>
              <w:right w:val="nil"/>
            </w:tcBorders>
            <w:shd w:val="clear" w:color="auto" w:fill="auto"/>
            <w:noWrap/>
            <w:vAlign w:val="bottom"/>
            <w:hideMark/>
          </w:tcPr>
          <w:p w14:paraId="06C2F5B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19.2</w:t>
            </w:r>
          </w:p>
        </w:tc>
        <w:tc>
          <w:tcPr>
            <w:tcW w:w="960" w:type="dxa"/>
            <w:tcBorders>
              <w:top w:val="nil"/>
              <w:left w:val="nil"/>
              <w:bottom w:val="nil"/>
              <w:right w:val="nil"/>
            </w:tcBorders>
            <w:shd w:val="clear" w:color="auto" w:fill="auto"/>
            <w:noWrap/>
            <w:vAlign w:val="bottom"/>
            <w:hideMark/>
          </w:tcPr>
          <w:p w14:paraId="0059934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12.3</w:t>
            </w:r>
          </w:p>
        </w:tc>
        <w:tc>
          <w:tcPr>
            <w:tcW w:w="1120" w:type="dxa"/>
            <w:tcBorders>
              <w:top w:val="nil"/>
              <w:left w:val="nil"/>
              <w:bottom w:val="nil"/>
              <w:right w:val="nil"/>
            </w:tcBorders>
            <w:shd w:val="clear" w:color="auto" w:fill="auto"/>
            <w:noWrap/>
            <w:vAlign w:val="bottom"/>
            <w:hideMark/>
          </w:tcPr>
          <w:p w14:paraId="0774A35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19.2</w:t>
            </w:r>
          </w:p>
        </w:tc>
        <w:tc>
          <w:tcPr>
            <w:tcW w:w="1080" w:type="dxa"/>
            <w:tcBorders>
              <w:top w:val="nil"/>
              <w:left w:val="nil"/>
              <w:bottom w:val="nil"/>
              <w:right w:val="nil"/>
            </w:tcBorders>
            <w:shd w:val="clear" w:color="auto" w:fill="auto"/>
            <w:noWrap/>
            <w:vAlign w:val="bottom"/>
            <w:hideMark/>
          </w:tcPr>
          <w:p w14:paraId="20AA836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16.4</w:t>
            </w:r>
          </w:p>
        </w:tc>
      </w:tr>
      <w:tr w:rsidR="007653D0" w:rsidRPr="0016235B" w14:paraId="0ECCC225" w14:textId="77777777" w:rsidTr="007653D0">
        <w:trPr>
          <w:trHeight w:val="300"/>
        </w:trPr>
        <w:tc>
          <w:tcPr>
            <w:tcW w:w="2260" w:type="dxa"/>
            <w:tcBorders>
              <w:top w:val="nil"/>
              <w:left w:val="nil"/>
              <w:bottom w:val="nil"/>
              <w:right w:val="nil"/>
            </w:tcBorders>
            <w:shd w:val="clear" w:color="auto" w:fill="auto"/>
            <w:noWrap/>
            <w:vAlign w:val="bottom"/>
            <w:hideMark/>
          </w:tcPr>
          <w:p w14:paraId="5B66220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Private</w:t>
            </w:r>
          </w:p>
        </w:tc>
        <w:tc>
          <w:tcPr>
            <w:tcW w:w="960" w:type="dxa"/>
            <w:tcBorders>
              <w:top w:val="nil"/>
              <w:left w:val="nil"/>
              <w:bottom w:val="nil"/>
              <w:right w:val="nil"/>
            </w:tcBorders>
            <w:shd w:val="clear" w:color="auto" w:fill="auto"/>
            <w:noWrap/>
            <w:vAlign w:val="bottom"/>
            <w:hideMark/>
          </w:tcPr>
          <w:p w14:paraId="783330C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45</w:t>
            </w:r>
          </w:p>
        </w:tc>
        <w:tc>
          <w:tcPr>
            <w:tcW w:w="1220" w:type="dxa"/>
            <w:tcBorders>
              <w:top w:val="nil"/>
              <w:left w:val="nil"/>
              <w:bottom w:val="nil"/>
              <w:right w:val="nil"/>
            </w:tcBorders>
            <w:shd w:val="clear" w:color="auto" w:fill="auto"/>
            <w:noWrap/>
            <w:vAlign w:val="bottom"/>
            <w:hideMark/>
          </w:tcPr>
          <w:p w14:paraId="5EE2B61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1054" w:type="dxa"/>
            <w:tcBorders>
              <w:top w:val="nil"/>
              <w:left w:val="nil"/>
              <w:bottom w:val="nil"/>
              <w:right w:val="nil"/>
            </w:tcBorders>
            <w:shd w:val="clear" w:color="auto" w:fill="auto"/>
            <w:noWrap/>
            <w:vAlign w:val="bottom"/>
            <w:hideMark/>
          </w:tcPr>
          <w:p w14:paraId="3A70063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42.2</w:t>
            </w:r>
          </w:p>
        </w:tc>
        <w:tc>
          <w:tcPr>
            <w:tcW w:w="1080" w:type="dxa"/>
            <w:tcBorders>
              <w:top w:val="nil"/>
              <w:left w:val="nil"/>
              <w:bottom w:val="nil"/>
              <w:right w:val="nil"/>
            </w:tcBorders>
            <w:shd w:val="clear" w:color="auto" w:fill="auto"/>
            <w:noWrap/>
            <w:vAlign w:val="bottom"/>
            <w:hideMark/>
          </w:tcPr>
          <w:p w14:paraId="76AC3E5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c>
          <w:tcPr>
            <w:tcW w:w="960" w:type="dxa"/>
            <w:tcBorders>
              <w:top w:val="nil"/>
              <w:left w:val="nil"/>
              <w:bottom w:val="nil"/>
              <w:right w:val="nil"/>
            </w:tcBorders>
            <w:shd w:val="clear" w:color="auto" w:fill="auto"/>
            <w:noWrap/>
            <w:vAlign w:val="bottom"/>
            <w:hideMark/>
          </w:tcPr>
          <w:p w14:paraId="48E10DF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28.9</w:t>
            </w:r>
          </w:p>
        </w:tc>
        <w:tc>
          <w:tcPr>
            <w:tcW w:w="1120" w:type="dxa"/>
            <w:tcBorders>
              <w:top w:val="nil"/>
              <w:left w:val="nil"/>
              <w:bottom w:val="nil"/>
              <w:right w:val="nil"/>
            </w:tcBorders>
            <w:shd w:val="clear" w:color="auto" w:fill="auto"/>
            <w:noWrap/>
            <w:vAlign w:val="bottom"/>
            <w:hideMark/>
          </w:tcPr>
          <w:p w14:paraId="7CE2702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6.7</w:t>
            </w:r>
          </w:p>
        </w:tc>
        <w:tc>
          <w:tcPr>
            <w:tcW w:w="1080" w:type="dxa"/>
            <w:tcBorders>
              <w:top w:val="nil"/>
              <w:left w:val="nil"/>
              <w:bottom w:val="nil"/>
              <w:right w:val="nil"/>
            </w:tcBorders>
            <w:shd w:val="clear" w:color="auto" w:fill="auto"/>
            <w:noWrap/>
            <w:vAlign w:val="bottom"/>
            <w:hideMark/>
          </w:tcPr>
          <w:p w14:paraId="15F5B92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11.1</w:t>
            </w:r>
          </w:p>
        </w:tc>
      </w:tr>
      <w:tr w:rsidR="007653D0" w:rsidRPr="0016235B" w14:paraId="3C5C610C" w14:textId="77777777" w:rsidTr="007653D0">
        <w:trPr>
          <w:trHeight w:val="300"/>
        </w:trPr>
        <w:tc>
          <w:tcPr>
            <w:tcW w:w="2260" w:type="dxa"/>
            <w:tcBorders>
              <w:top w:val="nil"/>
              <w:left w:val="nil"/>
              <w:bottom w:val="nil"/>
              <w:right w:val="nil"/>
            </w:tcBorders>
            <w:shd w:val="clear" w:color="000000" w:fill="E7E6E6"/>
            <w:noWrap/>
            <w:vAlign w:val="bottom"/>
            <w:hideMark/>
          </w:tcPr>
          <w:p w14:paraId="6040C906"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Facility Location</w:t>
            </w:r>
          </w:p>
        </w:tc>
        <w:tc>
          <w:tcPr>
            <w:tcW w:w="960" w:type="dxa"/>
            <w:tcBorders>
              <w:top w:val="nil"/>
              <w:left w:val="nil"/>
              <w:bottom w:val="nil"/>
              <w:right w:val="nil"/>
            </w:tcBorders>
            <w:shd w:val="clear" w:color="000000" w:fill="E7E6E6"/>
            <w:noWrap/>
            <w:vAlign w:val="bottom"/>
            <w:hideMark/>
          </w:tcPr>
          <w:p w14:paraId="306CE53D"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220" w:type="dxa"/>
            <w:tcBorders>
              <w:top w:val="nil"/>
              <w:left w:val="nil"/>
              <w:bottom w:val="nil"/>
              <w:right w:val="nil"/>
            </w:tcBorders>
            <w:shd w:val="clear" w:color="000000" w:fill="E7E6E6"/>
            <w:noWrap/>
            <w:vAlign w:val="bottom"/>
            <w:hideMark/>
          </w:tcPr>
          <w:p w14:paraId="5CA32AE0"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54" w:type="dxa"/>
            <w:tcBorders>
              <w:top w:val="nil"/>
              <w:left w:val="nil"/>
              <w:bottom w:val="nil"/>
              <w:right w:val="nil"/>
            </w:tcBorders>
            <w:shd w:val="clear" w:color="000000" w:fill="E7E6E6"/>
            <w:noWrap/>
            <w:vAlign w:val="bottom"/>
            <w:hideMark/>
          </w:tcPr>
          <w:p w14:paraId="7AB0CBC8"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80" w:type="dxa"/>
            <w:tcBorders>
              <w:top w:val="nil"/>
              <w:left w:val="nil"/>
              <w:bottom w:val="nil"/>
              <w:right w:val="nil"/>
            </w:tcBorders>
            <w:shd w:val="clear" w:color="000000" w:fill="E7E6E6"/>
            <w:noWrap/>
            <w:vAlign w:val="bottom"/>
            <w:hideMark/>
          </w:tcPr>
          <w:p w14:paraId="6B86B3E3"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29AFEB99"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120" w:type="dxa"/>
            <w:tcBorders>
              <w:top w:val="nil"/>
              <w:left w:val="nil"/>
              <w:bottom w:val="nil"/>
              <w:right w:val="nil"/>
            </w:tcBorders>
            <w:shd w:val="clear" w:color="000000" w:fill="E7E6E6"/>
            <w:noWrap/>
            <w:vAlign w:val="bottom"/>
            <w:hideMark/>
          </w:tcPr>
          <w:p w14:paraId="5CEE2838"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80" w:type="dxa"/>
            <w:tcBorders>
              <w:top w:val="nil"/>
              <w:left w:val="nil"/>
              <w:bottom w:val="nil"/>
              <w:right w:val="nil"/>
            </w:tcBorders>
            <w:shd w:val="clear" w:color="000000" w:fill="E7E6E6"/>
            <w:noWrap/>
            <w:vAlign w:val="bottom"/>
            <w:hideMark/>
          </w:tcPr>
          <w:p w14:paraId="3789CBCE"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2FA960DC" w14:textId="77777777" w:rsidTr="007653D0">
        <w:trPr>
          <w:trHeight w:val="300"/>
        </w:trPr>
        <w:tc>
          <w:tcPr>
            <w:tcW w:w="2260" w:type="dxa"/>
            <w:tcBorders>
              <w:top w:val="nil"/>
              <w:left w:val="nil"/>
              <w:bottom w:val="nil"/>
              <w:right w:val="nil"/>
            </w:tcBorders>
            <w:shd w:val="clear" w:color="auto" w:fill="auto"/>
            <w:noWrap/>
            <w:vAlign w:val="bottom"/>
            <w:hideMark/>
          </w:tcPr>
          <w:p w14:paraId="3F03E094"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Urban</w:t>
            </w:r>
          </w:p>
        </w:tc>
        <w:tc>
          <w:tcPr>
            <w:tcW w:w="960" w:type="dxa"/>
            <w:tcBorders>
              <w:top w:val="nil"/>
              <w:left w:val="nil"/>
              <w:bottom w:val="nil"/>
              <w:right w:val="nil"/>
            </w:tcBorders>
            <w:shd w:val="clear" w:color="auto" w:fill="auto"/>
            <w:noWrap/>
            <w:vAlign w:val="bottom"/>
            <w:hideMark/>
          </w:tcPr>
          <w:p w14:paraId="12CB51B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55</w:t>
            </w:r>
          </w:p>
        </w:tc>
        <w:tc>
          <w:tcPr>
            <w:tcW w:w="1220" w:type="dxa"/>
            <w:tcBorders>
              <w:top w:val="nil"/>
              <w:left w:val="nil"/>
              <w:bottom w:val="nil"/>
              <w:right w:val="nil"/>
            </w:tcBorders>
            <w:shd w:val="clear" w:color="auto" w:fill="auto"/>
            <w:noWrap/>
            <w:vAlign w:val="bottom"/>
            <w:hideMark/>
          </w:tcPr>
          <w:p w14:paraId="1D0B1CB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0.99</w:t>
            </w:r>
          </w:p>
        </w:tc>
        <w:tc>
          <w:tcPr>
            <w:tcW w:w="1054" w:type="dxa"/>
            <w:tcBorders>
              <w:top w:val="nil"/>
              <w:left w:val="nil"/>
              <w:bottom w:val="nil"/>
              <w:right w:val="nil"/>
            </w:tcBorders>
            <w:shd w:val="clear" w:color="auto" w:fill="auto"/>
            <w:noWrap/>
            <w:vAlign w:val="bottom"/>
            <w:hideMark/>
          </w:tcPr>
          <w:p w14:paraId="4E5A8C8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43.64</w:t>
            </w:r>
          </w:p>
        </w:tc>
        <w:tc>
          <w:tcPr>
            <w:tcW w:w="1080" w:type="dxa"/>
            <w:tcBorders>
              <w:top w:val="nil"/>
              <w:left w:val="nil"/>
              <w:bottom w:val="nil"/>
              <w:right w:val="nil"/>
            </w:tcBorders>
            <w:shd w:val="clear" w:color="auto" w:fill="auto"/>
            <w:noWrap/>
            <w:vAlign w:val="bottom"/>
            <w:hideMark/>
          </w:tcPr>
          <w:p w14:paraId="02CCDE6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14.55</w:t>
            </w:r>
          </w:p>
        </w:tc>
        <w:tc>
          <w:tcPr>
            <w:tcW w:w="960" w:type="dxa"/>
            <w:tcBorders>
              <w:top w:val="nil"/>
              <w:left w:val="nil"/>
              <w:bottom w:val="nil"/>
              <w:right w:val="nil"/>
            </w:tcBorders>
            <w:shd w:val="clear" w:color="auto" w:fill="auto"/>
            <w:noWrap/>
            <w:vAlign w:val="bottom"/>
            <w:hideMark/>
          </w:tcPr>
          <w:p w14:paraId="087D997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23.64</w:t>
            </w:r>
          </w:p>
        </w:tc>
        <w:tc>
          <w:tcPr>
            <w:tcW w:w="1120" w:type="dxa"/>
            <w:tcBorders>
              <w:top w:val="nil"/>
              <w:left w:val="nil"/>
              <w:bottom w:val="nil"/>
              <w:right w:val="nil"/>
            </w:tcBorders>
            <w:shd w:val="clear" w:color="auto" w:fill="auto"/>
            <w:noWrap/>
            <w:vAlign w:val="bottom"/>
            <w:hideMark/>
          </w:tcPr>
          <w:p w14:paraId="557662D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5.45</w:t>
            </w:r>
          </w:p>
        </w:tc>
        <w:tc>
          <w:tcPr>
            <w:tcW w:w="1080" w:type="dxa"/>
            <w:tcBorders>
              <w:top w:val="nil"/>
              <w:left w:val="nil"/>
              <w:bottom w:val="nil"/>
              <w:right w:val="nil"/>
            </w:tcBorders>
            <w:shd w:val="clear" w:color="auto" w:fill="auto"/>
            <w:noWrap/>
            <w:vAlign w:val="bottom"/>
            <w:hideMark/>
          </w:tcPr>
          <w:p w14:paraId="39BA004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12.73</w:t>
            </w:r>
          </w:p>
        </w:tc>
      </w:tr>
      <w:tr w:rsidR="007653D0" w:rsidRPr="0016235B" w14:paraId="04D4C6A1" w14:textId="77777777" w:rsidTr="007653D0">
        <w:trPr>
          <w:trHeight w:val="300"/>
        </w:trPr>
        <w:tc>
          <w:tcPr>
            <w:tcW w:w="2260" w:type="dxa"/>
            <w:tcBorders>
              <w:top w:val="nil"/>
              <w:left w:val="nil"/>
              <w:bottom w:val="nil"/>
              <w:right w:val="nil"/>
            </w:tcBorders>
            <w:shd w:val="clear" w:color="auto" w:fill="auto"/>
            <w:noWrap/>
            <w:vAlign w:val="bottom"/>
            <w:hideMark/>
          </w:tcPr>
          <w:p w14:paraId="0FF5B33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Rural</w:t>
            </w:r>
          </w:p>
        </w:tc>
        <w:tc>
          <w:tcPr>
            <w:tcW w:w="960" w:type="dxa"/>
            <w:tcBorders>
              <w:top w:val="nil"/>
              <w:left w:val="nil"/>
              <w:bottom w:val="nil"/>
              <w:right w:val="nil"/>
            </w:tcBorders>
            <w:shd w:val="clear" w:color="auto" w:fill="auto"/>
            <w:noWrap/>
            <w:vAlign w:val="bottom"/>
            <w:hideMark/>
          </w:tcPr>
          <w:p w14:paraId="5FE7F50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63</w:t>
            </w:r>
          </w:p>
        </w:tc>
        <w:tc>
          <w:tcPr>
            <w:tcW w:w="1220" w:type="dxa"/>
            <w:tcBorders>
              <w:top w:val="nil"/>
              <w:left w:val="nil"/>
              <w:bottom w:val="nil"/>
              <w:right w:val="nil"/>
            </w:tcBorders>
            <w:shd w:val="clear" w:color="auto" w:fill="auto"/>
            <w:noWrap/>
            <w:vAlign w:val="bottom"/>
            <w:hideMark/>
          </w:tcPr>
          <w:p w14:paraId="60B0F1E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054" w:type="dxa"/>
            <w:tcBorders>
              <w:top w:val="nil"/>
              <w:left w:val="nil"/>
              <w:bottom w:val="nil"/>
              <w:right w:val="nil"/>
            </w:tcBorders>
            <w:shd w:val="clear" w:color="auto" w:fill="auto"/>
            <w:noWrap/>
            <w:vAlign w:val="bottom"/>
            <w:hideMark/>
          </w:tcPr>
          <w:p w14:paraId="7F3D004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30.16</w:t>
            </w:r>
          </w:p>
        </w:tc>
        <w:tc>
          <w:tcPr>
            <w:tcW w:w="1080" w:type="dxa"/>
            <w:tcBorders>
              <w:top w:val="nil"/>
              <w:left w:val="nil"/>
              <w:bottom w:val="nil"/>
              <w:right w:val="nil"/>
            </w:tcBorders>
            <w:shd w:val="clear" w:color="auto" w:fill="auto"/>
            <w:noWrap/>
            <w:vAlign w:val="bottom"/>
            <w:hideMark/>
          </w:tcPr>
          <w:p w14:paraId="623FDFE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17.46</w:t>
            </w:r>
          </w:p>
        </w:tc>
        <w:tc>
          <w:tcPr>
            <w:tcW w:w="960" w:type="dxa"/>
            <w:tcBorders>
              <w:top w:val="nil"/>
              <w:left w:val="nil"/>
              <w:bottom w:val="nil"/>
              <w:right w:val="nil"/>
            </w:tcBorders>
            <w:shd w:val="clear" w:color="auto" w:fill="auto"/>
            <w:noWrap/>
            <w:vAlign w:val="bottom"/>
            <w:hideMark/>
          </w:tcPr>
          <w:p w14:paraId="477DB1E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14.29</w:t>
            </w:r>
          </w:p>
        </w:tc>
        <w:tc>
          <w:tcPr>
            <w:tcW w:w="1120" w:type="dxa"/>
            <w:tcBorders>
              <w:top w:val="nil"/>
              <w:left w:val="nil"/>
              <w:bottom w:val="nil"/>
              <w:right w:val="nil"/>
            </w:tcBorders>
            <w:shd w:val="clear" w:color="auto" w:fill="auto"/>
            <w:noWrap/>
            <w:vAlign w:val="bottom"/>
            <w:hideMark/>
          </w:tcPr>
          <w:p w14:paraId="3C1ED6F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22.22</w:t>
            </w:r>
          </w:p>
        </w:tc>
        <w:tc>
          <w:tcPr>
            <w:tcW w:w="1080" w:type="dxa"/>
            <w:tcBorders>
              <w:top w:val="nil"/>
              <w:left w:val="nil"/>
              <w:bottom w:val="nil"/>
              <w:right w:val="nil"/>
            </w:tcBorders>
            <w:shd w:val="clear" w:color="auto" w:fill="auto"/>
            <w:noWrap/>
            <w:vAlign w:val="bottom"/>
            <w:hideMark/>
          </w:tcPr>
          <w:p w14:paraId="062998B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15.87</w:t>
            </w:r>
          </w:p>
        </w:tc>
      </w:tr>
      <w:tr w:rsidR="007653D0" w:rsidRPr="0016235B" w14:paraId="4399F9CC" w14:textId="77777777" w:rsidTr="007653D0">
        <w:trPr>
          <w:trHeight w:val="300"/>
        </w:trPr>
        <w:tc>
          <w:tcPr>
            <w:tcW w:w="2260" w:type="dxa"/>
            <w:tcBorders>
              <w:top w:val="nil"/>
              <w:left w:val="nil"/>
              <w:bottom w:val="nil"/>
              <w:right w:val="nil"/>
            </w:tcBorders>
            <w:shd w:val="clear" w:color="000000" w:fill="E7E6E6"/>
            <w:noWrap/>
            <w:vAlign w:val="bottom"/>
            <w:hideMark/>
          </w:tcPr>
          <w:p w14:paraId="71D4C4A9"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Health Region</w:t>
            </w:r>
          </w:p>
        </w:tc>
        <w:tc>
          <w:tcPr>
            <w:tcW w:w="960" w:type="dxa"/>
            <w:tcBorders>
              <w:top w:val="nil"/>
              <w:left w:val="nil"/>
              <w:bottom w:val="nil"/>
              <w:right w:val="nil"/>
            </w:tcBorders>
            <w:shd w:val="clear" w:color="000000" w:fill="E7E6E6"/>
            <w:noWrap/>
            <w:vAlign w:val="bottom"/>
            <w:hideMark/>
          </w:tcPr>
          <w:p w14:paraId="0A896DC0"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220" w:type="dxa"/>
            <w:tcBorders>
              <w:top w:val="nil"/>
              <w:left w:val="nil"/>
              <w:bottom w:val="nil"/>
              <w:right w:val="nil"/>
            </w:tcBorders>
            <w:shd w:val="clear" w:color="000000" w:fill="E7E6E6"/>
            <w:noWrap/>
            <w:vAlign w:val="bottom"/>
            <w:hideMark/>
          </w:tcPr>
          <w:p w14:paraId="55441705"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w:t>
            </w:r>
          </w:p>
        </w:tc>
        <w:tc>
          <w:tcPr>
            <w:tcW w:w="1054" w:type="dxa"/>
            <w:tcBorders>
              <w:top w:val="nil"/>
              <w:left w:val="nil"/>
              <w:bottom w:val="nil"/>
              <w:right w:val="nil"/>
            </w:tcBorders>
            <w:shd w:val="clear" w:color="000000" w:fill="E7E6E6"/>
            <w:noWrap/>
            <w:vAlign w:val="bottom"/>
            <w:hideMark/>
          </w:tcPr>
          <w:p w14:paraId="3034047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80" w:type="dxa"/>
            <w:tcBorders>
              <w:top w:val="nil"/>
              <w:left w:val="nil"/>
              <w:bottom w:val="nil"/>
              <w:right w:val="nil"/>
            </w:tcBorders>
            <w:shd w:val="clear" w:color="000000" w:fill="E7E6E6"/>
            <w:noWrap/>
            <w:vAlign w:val="bottom"/>
            <w:hideMark/>
          </w:tcPr>
          <w:p w14:paraId="569C276A"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960" w:type="dxa"/>
            <w:tcBorders>
              <w:top w:val="nil"/>
              <w:left w:val="nil"/>
              <w:bottom w:val="nil"/>
              <w:right w:val="nil"/>
            </w:tcBorders>
            <w:shd w:val="clear" w:color="000000" w:fill="E7E6E6"/>
            <w:noWrap/>
            <w:vAlign w:val="bottom"/>
            <w:hideMark/>
          </w:tcPr>
          <w:p w14:paraId="3FA0F3B6"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120" w:type="dxa"/>
            <w:tcBorders>
              <w:top w:val="nil"/>
              <w:left w:val="nil"/>
              <w:bottom w:val="nil"/>
              <w:right w:val="nil"/>
            </w:tcBorders>
            <w:shd w:val="clear" w:color="000000" w:fill="E7E6E6"/>
            <w:noWrap/>
            <w:vAlign w:val="bottom"/>
            <w:hideMark/>
          </w:tcPr>
          <w:p w14:paraId="1CB25DAB"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c>
          <w:tcPr>
            <w:tcW w:w="1080" w:type="dxa"/>
            <w:tcBorders>
              <w:top w:val="nil"/>
              <w:left w:val="nil"/>
              <w:bottom w:val="nil"/>
              <w:right w:val="nil"/>
            </w:tcBorders>
            <w:shd w:val="clear" w:color="000000" w:fill="E7E6E6"/>
            <w:noWrap/>
            <w:vAlign w:val="bottom"/>
            <w:hideMark/>
          </w:tcPr>
          <w:p w14:paraId="01C026B7" w14:textId="77777777" w:rsidR="007653D0" w:rsidRPr="0016235B" w:rsidRDefault="007653D0" w:rsidP="007653D0">
            <w:pPr>
              <w:spacing w:after="0" w:line="240" w:lineRule="auto"/>
              <w:rPr>
                <w:rFonts w:ascii="Candara" w:eastAsia="Times New Roman" w:hAnsi="Candara" w:cs="Calibri"/>
                <w:color w:val="000000"/>
              </w:rPr>
            </w:pPr>
            <w:r w:rsidRPr="0016235B">
              <w:rPr>
                <w:rFonts w:ascii="Candara" w:eastAsia="Times New Roman" w:hAnsi="Candara" w:cs="Calibri"/>
                <w:color w:val="000000"/>
              </w:rPr>
              <w:t> </w:t>
            </w:r>
          </w:p>
        </w:tc>
      </w:tr>
      <w:tr w:rsidR="007653D0" w:rsidRPr="0016235B" w14:paraId="41B2D2B8" w14:textId="77777777" w:rsidTr="007653D0">
        <w:trPr>
          <w:trHeight w:val="300"/>
        </w:trPr>
        <w:tc>
          <w:tcPr>
            <w:tcW w:w="2260" w:type="dxa"/>
            <w:tcBorders>
              <w:top w:val="nil"/>
              <w:left w:val="nil"/>
              <w:bottom w:val="nil"/>
              <w:right w:val="nil"/>
            </w:tcBorders>
            <w:shd w:val="clear" w:color="auto" w:fill="auto"/>
            <w:noWrap/>
            <w:vAlign w:val="bottom"/>
            <w:hideMark/>
          </w:tcPr>
          <w:p w14:paraId="0510CD40"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Central1</w:t>
            </w:r>
          </w:p>
        </w:tc>
        <w:tc>
          <w:tcPr>
            <w:tcW w:w="960" w:type="dxa"/>
            <w:tcBorders>
              <w:top w:val="nil"/>
              <w:left w:val="nil"/>
              <w:bottom w:val="nil"/>
              <w:right w:val="nil"/>
            </w:tcBorders>
            <w:shd w:val="clear" w:color="auto" w:fill="auto"/>
            <w:noWrap/>
            <w:vAlign w:val="bottom"/>
            <w:hideMark/>
          </w:tcPr>
          <w:p w14:paraId="709EB4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w:t>
            </w:r>
          </w:p>
        </w:tc>
        <w:tc>
          <w:tcPr>
            <w:tcW w:w="1220" w:type="dxa"/>
            <w:tcBorders>
              <w:top w:val="nil"/>
              <w:left w:val="nil"/>
              <w:bottom w:val="nil"/>
              <w:right w:val="nil"/>
            </w:tcBorders>
            <w:shd w:val="clear" w:color="auto" w:fill="auto"/>
            <w:noWrap/>
            <w:vAlign w:val="bottom"/>
            <w:hideMark/>
          </w:tcPr>
          <w:p w14:paraId="139141B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0.73</w:t>
            </w:r>
          </w:p>
        </w:tc>
        <w:tc>
          <w:tcPr>
            <w:tcW w:w="1054" w:type="dxa"/>
            <w:tcBorders>
              <w:top w:val="nil"/>
              <w:left w:val="nil"/>
              <w:bottom w:val="nil"/>
              <w:right w:val="nil"/>
            </w:tcBorders>
            <w:shd w:val="clear" w:color="auto" w:fill="auto"/>
            <w:noWrap/>
            <w:vAlign w:val="bottom"/>
            <w:hideMark/>
          </w:tcPr>
          <w:p w14:paraId="46930F8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1080" w:type="dxa"/>
            <w:tcBorders>
              <w:top w:val="nil"/>
              <w:left w:val="nil"/>
              <w:bottom w:val="nil"/>
              <w:right w:val="nil"/>
            </w:tcBorders>
            <w:shd w:val="clear" w:color="auto" w:fill="auto"/>
            <w:noWrap/>
            <w:vAlign w:val="bottom"/>
            <w:hideMark/>
          </w:tcPr>
          <w:p w14:paraId="12C7862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960" w:type="dxa"/>
            <w:tcBorders>
              <w:top w:val="nil"/>
              <w:left w:val="nil"/>
              <w:bottom w:val="nil"/>
              <w:right w:val="nil"/>
            </w:tcBorders>
            <w:shd w:val="clear" w:color="auto" w:fill="auto"/>
            <w:noWrap/>
            <w:vAlign w:val="bottom"/>
            <w:hideMark/>
          </w:tcPr>
          <w:p w14:paraId="0B729DC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6.3</w:t>
            </w:r>
          </w:p>
        </w:tc>
        <w:tc>
          <w:tcPr>
            <w:tcW w:w="1120" w:type="dxa"/>
            <w:tcBorders>
              <w:top w:val="nil"/>
              <w:left w:val="nil"/>
              <w:bottom w:val="nil"/>
              <w:right w:val="nil"/>
            </w:tcBorders>
            <w:shd w:val="clear" w:color="auto" w:fill="auto"/>
            <w:noWrap/>
            <w:vAlign w:val="bottom"/>
            <w:hideMark/>
          </w:tcPr>
          <w:p w14:paraId="471A93D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18.8</w:t>
            </w:r>
          </w:p>
        </w:tc>
        <w:tc>
          <w:tcPr>
            <w:tcW w:w="1080" w:type="dxa"/>
            <w:tcBorders>
              <w:top w:val="nil"/>
              <w:left w:val="nil"/>
              <w:bottom w:val="nil"/>
              <w:right w:val="nil"/>
            </w:tcBorders>
            <w:shd w:val="clear" w:color="auto" w:fill="auto"/>
            <w:noWrap/>
            <w:vAlign w:val="bottom"/>
            <w:hideMark/>
          </w:tcPr>
          <w:p w14:paraId="61A63E5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7D8EB94A" w14:textId="77777777" w:rsidTr="007653D0">
        <w:trPr>
          <w:trHeight w:val="300"/>
        </w:trPr>
        <w:tc>
          <w:tcPr>
            <w:tcW w:w="2260" w:type="dxa"/>
            <w:tcBorders>
              <w:top w:val="nil"/>
              <w:left w:val="nil"/>
              <w:bottom w:val="nil"/>
              <w:right w:val="nil"/>
            </w:tcBorders>
            <w:shd w:val="clear" w:color="auto" w:fill="auto"/>
            <w:noWrap/>
            <w:vAlign w:val="bottom"/>
            <w:hideMark/>
          </w:tcPr>
          <w:p w14:paraId="044AB663"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Central2</w:t>
            </w:r>
          </w:p>
        </w:tc>
        <w:tc>
          <w:tcPr>
            <w:tcW w:w="960" w:type="dxa"/>
            <w:tcBorders>
              <w:top w:val="nil"/>
              <w:left w:val="nil"/>
              <w:bottom w:val="nil"/>
              <w:right w:val="nil"/>
            </w:tcBorders>
            <w:shd w:val="clear" w:color="auto" w:fill="auto"/>
            <w:noWrap/>
            <w:vAlign w:val="bottom"/>
            <w:hideMark/>
          </w:tcPr>
          <w:p w14:paraId="4143A9C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7</w:t>
            </w:r>
          </w:p>
        </w:tc>
        <w:tc>
          <w:tcPr>
            <w:tcW w:w="1220" w:type="dxa"/>
            <w:tcBorders>
              <w:top w:val="nil"/>
              <w:left w:val="nil"/>
              <w:bottom w:val="nil"/>
              <w:right w:val="nil"/>
            </w:tcBorders>
            <w:shd w:val="clear" w:color="auto" w:fill="auto"/>
            <w:noWrap/>
            <w:vAlign w:val="bottom"/>
            <w:hideMark/>
          </w:tcPr>
          <w:p w14:paraId="5BD487B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0.95</w:t>
            </w:r>
          </w:p>
        </w:tc>
        <w:tc>
          <w:tcPr>
            <w:tcW w:w="1054" w:type="dxa"/>
            <w:tcBorders>
              <w:top w:val="nil"/>
              <w:left w:val="nil"/>
              <w:bottom w:val="nil"/>
              <w:right w:val="nil"/>
            </w:tcBorders>
            <w:shd w:val="clear" w:color="auto" w:fill="auto"/>
            <w:noWrap/>
            <w:vAlign w:val="bottom"/>
            <w:hideMark/>
          </w:tcPr>
          <w:p w14:paraId="0367443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28.6</w:t>
            </w:r>
          </w:p>
        </w:tc>
        <w:tc>
          <w:tcPr>
            <w:tcW w:w="1080" w:type="dxa"/>
            <w:tcBorders>
              <w:top w:val="nil"/>
              <w:left w:val="nil"/>
              <w:bottom w:val="nil"/>
              <w:right w:val="nil"/>
            </w:tcBorders>
            <w:shd w:val="clear" w:color="auto" w:fill="auto"/>
            <w:noWrap/>
            <w:vAlign w:val="bottom"/>
            <w:hideMark/>
          </w:tcPr>
          <w:p w14:paraId="2BB07F1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28.6</w:t>
            </w:r>
          </w:p>
        </w:tc>
        <w:tc>
          <w:tcPr>
            <w:tcW w:w="960" w:type="dxa"/>
            <w:tcBorders>
              <w:top w:val="nil"/>
              <w:left w:val="nil"/>
              <w:bottom w:val="nil"/>
              <w:right w:val="nil"/>
            </w:tcBorders>
            <w:shd w:val="clear" w:color="auto" w:fill="auto"/>
            <w:noWrap/>
            <w:vAlign w:val="bottom"/>
            <w:hideMark/>
          </w:tcPr>
          <w:p w14:paraId="2D088D6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120" w:type="dxa"/>
            <w:tcBorders>
              <w:top w:val="nil"/>
              <w:left w:val="nil"/>
              <w:bottom w:val="nil"/>
              <w:right w:val="nil"/>
            </w:tcBorders>
            <w:shd w:val="clear" w:color="auto" w:fill="auto"/>
            <w:noWrap/>
            <w:vAlign w:val="bottom"/>
            <w:hideMark/>
          </w:tcPr>
          <w:p w14:paraId="3C250EB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42.9</w:t>
            </w:r>
          </w:p>
        </w:tc>
        <w:tc>
          <w:tcPr>
            <w:tcW w:w="1080" w:type="dxa"/>
            <w:tcBorders>
              <w:top w:val="nil"/>
              <w:left w:val="nil"/>
              <w:bottom w:val="nil"/>
              <w:right w:val="nil"/>
            </w:tcBorders>
            <w:shd w:val="clear" w:color="auto" w:fill="auto"/>
            <w:noWrap/>
            <w:vAlign w:val="bottom"/>
            <w:hideMark/>
          </w:tcPr>
          <w:p w14:paraId="74B2771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0337A017" w14:textId="77777777" w:rsidTr="007653D0">
        <w:trPr>
          <w:trHeight w:val="300"/>
        </w:trPr>
        <w:tc>
          <w:tcPr>
            <w:tcW w:w="2260" w:type="dxa"/>
            <w:tcBorders>
              <w:top w:val="nil"/>
              <w:left w:val="nil"/>
              <w:bottom w:val="nil"/>
              <w:right w:val="nil"/>
            </w:tcBorders>
            <w:shd w:val="clear" w:color="auto" w:fill="auto"/>
            <w:noWrap/>
            <w:vAlign w:val="bottom"/>
            <w:hideMark/>
          </w:tcPr>
          <w:p w14:paraId="67673E4C"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Kampala</w:t>
            </w:r>
          </w:p>
        </w:tc>
        <w:tc>
          <w:tcPr>
            <w:tcW w:w="960" w:type="dxa"/>
            <w:tcBorders>
              <w:top w:val="nil"/>
              <w:left w:val="nil"/>
              <w:bottom w:val="nil"/>
              <w:right w:val="nil"/>
            </w:tcBorders>
            <w:shd w:val="clear" w:color="auto" w:fill="auto"/>
            <w:noWrap/>
            <w:vAlign w:val="bottom"/>
            <w:hideMark/>
          </w:tcPr>
          <w:p w14:paraId="7ECDD18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w:t>
            </w:r>
          </w:p>
        </w:tc>
        <w:tc>
          <w:tcPr>
            <w:tcW w:w="1220" w:type="dxa"/>
            <w:tcBorders>
              <w:top w:val="nil"/>
              <w:left w:val="nil"/>
              <w:bottom w:val="nil"/>
              <w:right w:val="nil"/>
            </w:tcBorders>
            <w:shd w:val="clear" w:color="auto" w:fill="auto"/>
            <w:noWrap/>
            <w:vAlign w:val="bottom"/>
            <w:hideMark/>
          </w:tcPr>
          <w:p w14:paraId="38EC4C2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0.98</w:t>
            </w:r>
          </w:p>
        </w:tc>
        <w:tc>
          <w:tcPr>
            <w:tcW w:w="1054" w:type="dxa"/>
            <w:tcBorders>
              <w:top w:val="nil"/>
              <w:left w:val="nil"/>
              <w:bottom w:val="nil"/>
              <w:right w:val="nil"/>
            </w:tcBorders>
            <w:shd w:val="clear" w:color="auto" w:fill="auto"/>
            <w:noWrap/>
            <w:vAlign w:val="bottom"/>
            <w:hideMark/>
          </w:tcPr>
          <w:p w14:paraId="5C31ACC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1080" w:type="dxa"/>
            <w:tcBorders>
              <w:top w:val="nil"/>
              <w:left w:val="nil"/>
              <w:bottom w:val="nil"/>
              <w:right w:val="nil"/>
            </w:tcBorders>
            <w:shd w:val="clear" w:color="auto" w:fill="auto"/>
            <w:noWrap/>
            <w:vAlign w:val="bottom"/>
            <w:hideMark/>
          </w:tcPr>
          <w:p w14:paraId="78BD8AB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6.3</w:t>
            </w:r>
          </w:p>
        </w:tc>
        <w:tc>
          <w:tcPr>
            <w:tcW w:w="960" w:type="dxa"/>
            <w:tcBorders>
              <w:top w:val="nil"/>
              <w:left w:val="nil"/>
              <w:bottom w:val="nil"/>
              <w:right w:val="nil"/>
            </w:tcBorders>
            <w:shd w:val="clear" w:color="auto" w:fill="auto"/>
            <w:noWrap/>
            <w:vAlign w:val="bottom"/>
            <w:hideMark/>
          </w:tcPr>
          <w:p w14:paraId="1A7F21B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43.8</w:t>
            </w:r>
          </w:p>
        </w:tc>
        <w:tc>
          <w:tcPr>
            <w:tcW w:w="1120" w:type="dxa"/>
            <w:tcBorders>
              <w:top w:val="nil"/>
              <w:left w:val="nil"/>
              <w:bottom w:val="nil"/>
              <w:right w:val="nil"/>
            </w:tcBorders>
            <w:shd w:val="clear" w:color="auto" w:fill="auto"/>
            <w:noWrap/>
            <w:vAlign w:val="bottom"/>
            <w:hideMark/>
          </w:tcPr>
          <w:p w14:paraId="1A3E1D5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80" w:type="dxa"/>
            <w:tcBorders>
              <w:top w:val="nil"/>
              <w:left w:val="nil"/>
              <w:bottom w:val="nil"/>
              <w:right w:val="nil"/>
            </w:tcBorders>
            <w:shd w:val="clear" w:color="auto" w:fill="auto"/>
            <w:noWrap/>
            <w:vAlign w:val="bottom"/>
            <w:hideMark/>
          </w:tcPr>
          <w:p w14:paraId="5BF93A1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r>
      <w:tr w:rsidR="007653D0" w:rsidRPr="0016235B" w14:paraId="6E632BF6" w14:textId="77777777" w:rsidTr="007653D0">
        <w:trPr>
          <w:trHeight w:val="300"/>
        </w:trPr>
        <w:tc>
          <w:tcPr>
            <w:tcW w:w="2260" w:type="dxa"/>
            <w:tcBorders>
              <w:top w:val="nil"/>
              <w:left w:val="nil"/>
              <w:bottom w:val="nil"/>
              <w:right w:val="nil"/>
            </w:tcBorders>
            <w:shd w:val="clear" w:color="auto" w:fill="auto"/>
            <w:noWrap/>
            <w:vAlign w:val="bottom"/>
            <w:hideMark/>
          </w:tcPr>
          <w:p w14:paraId="08054A41"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Karamoja</w:t>
            </w:r>
          </w:p>
        </w:tc>
        <w:tc>
          <w:tcPr>
            <w:tcW w:w="960" w:type="dxa"/>
            <w:tcBorders>
              <w:top w:val="nil"/>
              <w:left w:val="nil"/>
              <w:bottom w:val="nil"/>
              <w:right w:val="nil"/>
            </w:tcBorders>
            <w:shd w:val="clear" w:color="auto" w:fill="auto"/>
            <w:noWrap/>
            <w:vAlign w:val="bottom"/>
            <w:hideMark/>
          </w:tcPr>
          <w:p w14:paraId="4DFE666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w:t>
            </w:r>
          </w:p>
        </w:tc>
        <w:tc>
          <w:tcPr>
            <w:tcW w:w="1220" w:type="dxa"/>
            <w:tcBorders>
              <w:top w:val="nil"/>
              <w:left w:val="nil"/>
              <w:bottom w:val="nil"/>
              <w:right w:val="nil"/>
            </w:tcBorders>
            <w:shd w:val="clear" w:color="auto" w:fill="auto"/>
            <w:noWrap/>
            <w:vAlign w:val="bottom"/>
            <w:hideMark/>
          </w:tcPr>
          <w:p w14:paraId="33AC20A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1.97</w:t>
            </w:r>
          </w:p>
        </w:tc>
        <w:tc>
          <w:tcPr>
            <w:tcW w:w="1054" w:type="dxa"/>
            <w:tcBorders>
              <w:top w:val="nil"/>
              <w:left w:val="nil"/>
              <w:bottom w:val="nil"/>
              <w:right w:val="nil"/>
            </w:tcBorders>
            <w:shd w:val="clear" w:color="auto" w:fill="auto"/>
            <w:noWrap/>
            <w:vAlign w:val="bottom"/>
            <w:hideMark/>
          </w:tcPr>
          <w:p w14:paraId="6D6D9902"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1080" w:type="dxa"/>
            <w:tcBorders>
              <w:top w:val="nil"/>
              <w:left w:val="nil"/>
              <w:bottom w:val="nil"/>
              <w:right w:val="nil"/>
            </w:tcBorders>
            <w:shd w:val="clear" w:color="auto" w:fill="auto"/>
            <w:noWrap/>
            <w:vAlign w:val="bottom"/>
            <w:hideMark/>
          </w:tcPr>
          <w:p w14:paraId="2093C29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5F9DAF4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20.0</w:t>
            </w:r>
          </w:p>
        </w:tc>
        <w:tc>
          <w:tcPr>
            <w:tcW w:w="1120" w:type="dxa"/>
            <w:tcBorders>
              <w:top w:val="nil"/>
              <w:left w:val="nil"/>
              <w:bottom w:val="nil"/>
              <w:right w:val="nil"/>
            </w:tcBorders>
            <w:shd w:val="clear" w:color="auto" w:fill="auto"/>
            <w:noWrap/>
            <w:vAlign w:val="bottom"/>
            <w:hideMark/>
          </w:tcPr>
          <w:p w14:paraId="3F59A05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80" w:type="dxa"/>
            <w:tcBorders>
              <w:top w:val="nil"/>
              <w:left w:val="nil"/>
              <w:bottom w:val="nil"/>
              <w:right w:val="nil"/>
            </w:tcBorders>
            <w:shd w:val="clear" w:color="auto" w:fill="auto"/>
            <w:noWrap/>
            <w:vAlign w:val="bottom"/>
            <w:hideMark/>
          </w:tcPr>
          <w:p w14:paraId="6C680A6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60.0</w:t>
            </w:r>
          </w:p>
        </w:tc>
      </w:tr>
      <w:tr w:rsidR="007653D0" w:rsidRPr="0016235B" w14:paraId="03D172DB" w14:textId="77777777" w:rsidTr="007653D0">
        <w:trPr>
          <w:trHeight w:val="300"/>
        </w:trPr>
        <w:tc>
          <w:tcPr>
            <w:tcW w:w="2260" w:type="dxa"/>
            <w:tcBorders>
              <w:top w:val="nil"/>
              <w:left w:val="nil"/>
              <w:bottom w:val="nil"/>
              <w:right w:val="nil"/>
            </w:tcBorders>
            <w:shd w:val="clear" w:color="auto" w:fill="auto"/>
            <w:noWrap/>
            <w:vAlign w:val="bottom"/>
            <w:hideMark/>
          </w:tcPr>
          <w:p w14:paraId="6D9A7EF7" w14:textId="77777777" w:rsidR="007653D0" w:rsidRPr="0016235B" w:rsidRDefault="007653D0" w:rsidP="007653D0">
            <w:pPr>
              <w:spacing w:after="0" w:line="240" w:lineRule="auto"/>
              <w:rPr>
                <w:rFonts w:ascii="Candara" w:eastAsia="Times New Roman" w:hAnsi="Candara" w:cs="Calibri"/>
                <w:color w:val="000000"/>
                <w:sz w:val="20"/>
                <w:szCs w:val="20"/>
              </w:rPr>
            </w:pPr>
            <w:proofErr w:type="spellStart"/>
            <w:r w:rsidRPr="0016235B">
              <w:rPr>
                <w:rFonts w:ascii="Candara" w:eastAsia="Times New Roman" w:hAnsi="Candara" w:cs="Calibri"/>
                <w:color w:val="000000"/>
                <w:sz w:val="20"/>
                <w:szCs w:val="20"/>
              </w:rPr>
              <w:t>Mid East</w:t>
            </w:r>
            <w:proofErr w:type="spellEnd"/>
          </w:p>
        </w:tc>
        <w:tc>
          <w:tcPr>
            <w:tcW w:w="960" w:type="dxa"/>
            <w:tcBorders>
              <w:top w:val="nil"/>
              <w:left w:val="nil"/>
              <w:bottom w:val="nil"/>
              <w:right w:val="nil"/>
            </w:tcBorders>
            <w:shd w:val="clear" w:color="auto" w:fill="auto"/>
            <w:noWrap/>
            <w:vAlign w:val="bottom"/>
            <w:hideMark/>
          </w:tcPr>
          <w:p w14:paraId="5B05BAA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20</w:t>
            </w:r>
          </w:p>
        </w:tc>
        <w:tc>
          <w:tcPr>
            <w:tcW w:w="1220" w:type="dxa"/>
            <w:tcBorders>
              <w:top w:val="nil"/>
              <w:left w:val="nil"/>
              <w:bottom w:val="nil"/>
              <w:right w:val="nil"/>
            </w:tcBorders>
            <w:shd w:val="clear" w:color="auto" w:fill="auto"/>
            <w:noWrap/>
            <w:vAlign w:val="bottom"/>
            <w:hideMark/>
          </w:tcPr>
          <w:p w14:paraId="05D641F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2.36</w:t>
            </w:r>
          </w:p>
        </w:tc>
        <w:tc>
          <w:tcPr>
            <w:tcW w:w="1054" w:type="dxa"/>
            <w:tcBorders>
              <w:top w:val="nil"/>
              <w:left w:val="nil"/>
              <w:bottom w:val="nil"/>
              <w:right w:val="nil"/>
            </w:tcBorders>
            <w:shd w:val="clear" w:color="auto" w:fill="auto"/>
            <w:noWrap/>
            <w:vAlign w:val="bottom"/>
            <w:hideMark/>
          </w:tcPr>
          <w:p w14:paraId="07AD0AB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1080" w:type="dxa"/>
            <w:tcBorders>
              <w:top w:val="nil"/>
              <w:left w:val="nil"/>
              <w:bottom w:val="nil"/>
              <w:right w:val="nil"/>
            </w:tcBorders>
            <w:shd w:val="clear" w:color="auto" w:fill="auto"/>
            <w:noWrap/>
            <w:vAlign w:val="bottom"/>
            <w:hideMark/>
          </w:tcPr>
          <w:p w14:paraId="148065C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960" w:type="dxa"/>
            <w:tcBorders>
              <w:top w:val="nil"/>
              <w:left w:val="nil"/>
              <w:bottom w:val="nil"/>
              <w:right w:val="nil"/>
            </w:tcBorders>
            <w:shd w:val="clear" w:color="auto" w:fill="auto"/>
            <w:noWrap/>
            <w:vAlign w:val="bottom"/>
            <w:hideMark/>
          </w:tcPr>
          <w:p w14:paraId="1CCE04C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w:t>
            </w:r>
          </w:p>
        </w:tc>
        <w:tc>
          <w:tcPr>
            <w:tcW w:w="1120" w:type="dxa"/>
            <w:tcBorders>
              <w:top w:val="nil"/>
              <w:left w:val="nil"/>
              <w:bottom w:val="nil"/>
              <w:right w:val="nil"/>
            </w:tcBorders>
            <w:shd w:val="clear" w:color="auto" w:fill="auto"/>
            <w:noWrap/>
            <w:vAlign w:val="bottom"/>
            <w:hideMark/>
          </w:tcPr>
          <w:p w14:paraId="2698F1B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w:t>
            </w:r>
          </w:p>
        </w:tc>
        <w:tc>
          <w:tcPr>
            <w:tcW w:w="1080" w:type="dxa"/>
            <w:tcBorders>
              <w:top w:val="nil"/>
              <w:left w:val="nil"/>
              <w:bottom w:val="nil"/>
              <w:right w:val="nil"/>
            </w:tcBorders>
            <w:shd w:val="clear" w:color="auto" w:fill="auto"/>
            <w:noWrap/>
            <w:vAlign w:val="bottom"/>
            <w:hideMark/>
          </w:tcPr>
          <w:p w14:paraId="547E13F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r>
      <w:tr w:rsidR="007653D0" w:rsidRPr="0016235B" w14:paraId="60A26DDD" w14:textId="77777777" w:rsidTr="007653D0">
        <w:trPr>
          <w:trHeight w:val="300"/>
        </w:trPr>
        <w:tc>
          <w:tcPr>
            <w:tcW w:w="2260" w:type="dxa"/>
            <w:tcBorders>
              <w:top w:val="nil"/>
              <w:left w:val="nil"/>
              <w:bottom w:val="nil"/>
              <w:right w:val="nil"/>
            </w:tcBorders>
            <w:shd w:val="clear" w:color="auto" w:fill="auto"/>
            <w:noWrap/>
            <w:vAlign w:val="bottom"/>
            <w:hideMark/>
          </w:tcPr>
          <w:p w14:paraId="152FF9E7"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Mid-North</w:t>
            </w:r>
          </w:p>
        </w:tc>
        <w:tc>
          <w:tcPr>
            <w:tcW w:w="960" w:type="dxa"/>
            <w:tcBorders>
              <w:top w:val="nil"/>
              <w:left w:val="nil"/>
              <w:bottom w:val="nil"/>
              <w:right w:val="nil"/>
            </w:tcBorders>
            <w:shd w:val="clear" w:color="auto" w:fill="auto"/>
            <w:noWrap/>
            <w:vAlign w:val="bottom"/>
            <w:hideMark/>
          </w:tcPr>
          <w:p w14:paraId="6C92CB30"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w:t>
            </w:r>
          </w:p>
        </w:tc>
        <w:tc>
          <w:tcPr>
            <w:tcW w:w="1220" w:type="dxa"/>
            <w:tcBorders>
              <w:top w:val="nil"/>
              <w:left w:val="nil"/>
              <w:bottom w:val="nil"/>
              <w:right w:val="nil"/>
            </w:tcBorders>
            <w:shd w:val="clear" w:color="auto" w:fill="auto"/>
            <w:noWrap/>
            <w:vAlign w:val="bottom"/>
            <w:hideMark/>
          </w:tcPr>
          <w:p w14:paraId="5689DA1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1.02</w:t>
            </w:r>
          </w:p>
        </w:tc>
        <w:tc>
          <w:tcPr>
            <w:tcW w:w="1054" w:type="dxa"/>
            <w:tcBorders>
              <w:top w:val="nil"/>
              <w:left w:val="nil"/>
              <w:bottom w:val="nil"/>
              <w:right w:val="nil"/>
            </w:tcBorders>
            <w:shd w:val="clear" w:color="auto" w:fill="auto"/>
            <w:noWrap/>
            <w:vAlign w:val="bottom"/>
            <w:hideMark/>
          </w:tcPr>
          <w:p w14:paraId="01805C5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28.6</w:t>
            </w:r>
          </w:p>
        </w:tc>
        <w:tc>
          <w:tcPr>
            <w:tcW w:w="1080" w:type="dxa"/>
            <w:tcBorders>
              <w:top w:val="nil"/>
              <w:left w:val="nil"/>
              <w:bottom w:val="nil"/>
              <w:right w:val="nil"/>
            </w:tcBorders>
            <w:shd w:val="clear" w:color="auto" w:fill="auto"/>
            <w:noWrap/>
            <w:vAlign w:val="bottom"/>
            <w:hideMark/>
          </w:tcPr>
          <w:p w14:paraId="3462D04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21.4</w:t>
            </w:r>
          </w:p>
        </w:tc>
        <w:tc>
          <w:tcPr>
            <w:tcW w:w="960" w:type="dxa"/>
            <w:tcBorders>
              <w:top w:val="nil"/>
              <w:left w:val="nil"/>
              <w:bottom w:val="nil"/>
              <w:right w:val="nil"/>
            </w:tcBorders>
            <w:shd w:val="clear" w:color="auto" w:fill="auto"/>
            <w:noWrap/>
            <w:vAlign w:val="bottom"/>
            <w:hideMark/>
          </w:tcPr>
          <w:p w14:paraId="4DDD958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c>
          <w:tcPr>
            <w:tcW w:w="1120" w:type="dxa"/>
            <w:tcBorders>
              <w:top w:val="nil"/>
              <w:left w:val="nil"/>
              <w:bottom w:val="nil"/>
              <w:right w:val="nil"/>
            </w:tcBorders>
            <w:shd w:val="clear" w:color="auto" w:fill="auto"/>
            <w:noWrap/>
            <w:vAlign w:val="bottom"/>
            <w:hideMark/>
          </w:tcPr>
          <w:p w14:paraId="48BF326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21.4</w:t>
            </w:r>
          </w:p>
        </w:tc>
        <w:tc>
          <w:tcPr>
            <w:tcW w:w="1080" w:type="dxa"/>
            <w:tcBorders>
              <w:top w:val="nil"/>
              <w:left w:val="nil"/>
              <w:bottom w:val="nil"/>
              <w:right w:val="nil"/>
            </w:tcBorders>
            <w:shd w:val="clear" w:color="auto" w:fill="auto"/>
            <w:noWrap/>
            <w:vAlign w:val="bottom"/>
            <w:hideMark/>
          </w:tcPr>
          <w:p w14:paraId="69FE6CD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14.3</w:t>
            </w:r>
          </w:p>
        </w:tc>
      </w:tr>
      <w:tr w:rsidR="007653D0" w:rsidRPr="0016235B" w14:paraId="176425F1" w14:textId="77777777" w:rsidTr="007653D0">
        <w:trPr>
          <w:trHeight w:val="300"/>
        </w:trPr>
        <w:tc>
          <w:tcPr>
            <w:tcW w:w="2260" w:type="dxa"/>
            <w:tcBorders>
              <w:top w:val="nil"/>
              <w:left w:val="nil"/>
              <w:bottom w:val="nil"/>
              <w:right w:val="nil"/>
            </w:tcBorders>
            <w:shd w:val="clear" w:color="auto" w:fill="auto"/>
            <w:noWrap/>
            <w:vAlign w:val="bottom"/>
            <w:hideMark/>
          </w:tcPr>
          <w:p w14:paraId="525D977E"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Mid-West</w:t>
            </w:r>
          </w:p>
        </w:tc>
        <w:tc>
          <w:tcPr>
            <w:tcW w:w="960" w:type="dxa"/>
            <w:tcBorders>
              <w:top w:val="nil"/>
              <w:left w:val="nil"/>
              <w:bottom w:val="nil"/>
              <w:right w:val="nil"/>
            </w:tcBorders>
            <w:shd w:val="clear" w:color="auto" w:fill="auto"/>
            <w:noWrap/>
            <w:vAlign w:val="bottom"/>
            <w:hideMark/>
          </w:tcPr>
          <w:p w14:paraId="6B899F4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220" w:type="dxa"/>
            <w:tcBorders>
              <w:top w:val="nil"/>
              <w:left w:val="nil"/>
              <w:bottom w:val="nil"/>
              <w:right w:val="nil"/>
            </w:tcBorders>
            <w:shd w:val="clear" w:color="auto" w:fill="auto"/>
            <w:noWrap/>
            <w:vAlign w:val="bottom"/>
            <w:hideMark/>
          </w:tcPr>
          <w:p w14:paraId="19B147B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0.91</w:t>
            </w:r>
          </w:p>
        </w:tc>
        <w:tc>
          <w:tcPr>
            <w:tcW w:w="1054" w:type="dxa"/>
            <w:tcBorders>
              <w:top w:val="nil"/>
              <w:left w:val="nil"/>
              <w:bottom w:val="nil"/>
              <w:right w:val="nil"/>
            </w:tcBorders>
            <w:shd w:val="clear" w:color="auto" w:fill="auto"/>
            <w:noWrap/>
            <w:vAlign w:val="bottom"/>
            <w:hideMark/>
          </w:tcPr>
          <w:p w14:paraId="4118B29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80" w:type="dxa"/>
            <w:tcBorders>
              <w:top w:val="nil"/>
              <w:left w:val="nil"/>
              <w:bottom w:val="nil"/>
              <w:right w:val="nil"/>
            </w:tcBorders>
            <w:shd w:val="clear" w:color="auto" w:fill="auto"/>
            <w:noWrap/>
            <w:vAlign w:val="bottom"/>
            <w:hideMark/>
          </w:tcPr>
          <w:p w14:paraId="6B88EBE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37.5</w:t>
            </w:r>
          </w:p>
        </w:tc>
        <w:tc>
          <w:tcPr>
            <w:tcW w:w="960" w:type="dxa"/>
            <w:tcBorders>
              <w:top w:val="nil"/>
              <w:left w:val="nil"/>
              <w:bottom w:val="nil"/>
              <w:right w:val="nil"/>
            </w:tcBorders>
            <w:shd w:val="clear" w:color="auto" w:fill="auto"/>
            <w:noWrap/>
            <w:vAlign w:val="bottom"/>
            <w:hideMark/>
          </w:tcPr>
          <w:p w14:paraId="7ECFDA74"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120" w:type="dxa"/>
            <w:tcBorders>
              <w:top w:val="nil"/>
              <w:left w:val="nil"/>
              <w:bottom w:val="nil"/>
              <w:right w:val="nil"/>
            </w:tcBorders>
            <w:shd w:val="clear" w:color="auto" w:fill="auto"/>
            <w:noWrap/>
            <w:vAlign w:val="bottom"/>
            <w:hideMark/>
          </w:tcPr>
          <w:p w14:paraId="06FCA1F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c>
          <w:tcPr>
            <w:tcW w:w="1080" w:type="dxa"/>
            <w:tcBorders>
              <w:top w:val="nil"/>
              <w:left w:val="nil"/>
              <w:bottom w:val="nil"/>
              <w:right w:val="nil"/>
            </w:tcBorders>
            <w:shd w:val="clear" w:color="auto" w:fill="auto"/>
            <w:noWrap/>
            <w:vAlign w:val="bottom"/>
            <w:hideMark/>
          </w:tcPr>
          <w:p w14:paraId="24DEEE2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12.5</w:t>
            </w:r>
          </w:p>
        </w:tc>
      </w:tr>
      <w:tr w:rsidR="007653D0" w:rsidRPr="0016235B" w14:paraId="5D0D23DD" w14:textId="77777777" w:rsidTr="007653D0">
        <w:trPr>
          <w:trHeight w:val="300"/>
        </w:trPr>
        <w:tc>
          <w:tcPr>
            <w:tcW w:w="2260" w:type="dxa"/>
            <w:tcBorders>
              <w:top w:val="nil"/>
              <w:left w:val="nil"/>
              <w:bottom w:val="nil"/>
              <w:right w:val="nil"/>
            </w:tcBorders>
            <w:shd w:val="clear" w:color="auto" w:fill="auto"/>
            <w:noWrap/>
            <w:vAlign w:val="bottom"/>
            <w:hideMark/>
          </w:tcPr>
          <w:p w14:paraId="7810501C"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North East</w:t>
            </w:r>
          </w:p>
        </w:tc>
        <w:tc>
          <w:tcPr>
            <w:tcW w:w="960" w:type="dxa"/>
            <w:tcBorders>
              <w:top w:val="nil"/>
              <w:left w:val="nil"/>
              <w:bottom w:val="nil"/>
              <w:right w:val="nil"/>
            </w:tcBorders>
            <w:shd w:val="clear" w:color="auto" w:fill="auto"/>
            <w:noWrap/>
            <w:vAlign w:val="bottom"/>
            <w:hideMark/>
          </w:tcPr>
          <w:p w14:paraId="24DE3FE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w:t>
            </w:r>
          </w:p>
        </w:tc>
        <w:tc>
          <w:tcPr>
            <w:tcW w:w="1220" w:type="dxa"/>
            <w:tcBorders>
              <w:top w:val="nil"/>
              <w:left w:val="nil"/>
              <w:bottom w:val="nil"/>
              <w:right w:val="nil"/>
            </w:tcBorders>
            <w:shd w:val="clear" w:color="auto" w:fill="auto"/>
            <w:noWrap/>
            <w:vAlign w:val="bottom"/>
            <w:hideMark/>
          </w:tcPr>
          <w:p w14:paraId="7D4652F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0.80</w:t>
            </w:r>
          </w:p>
        </w:tc>
        <w:tc>
          <w:tcPr>
            <w:tcW w:w="1054" w:type="dxa"/>
            <w:tcBorders>
              <w:top w:val="nil"/>
              <w:left w:val="nil"/>
              <w:bottom w:val="nil"/>
              <w:right w:val="nil"/>
            </w:tcBorders>
            <w:shd w:val="clear" w:color="auto" w:fill="auto"/>
            <w:noWrap/>
            <w:vAlign w:val="bottom"/>
            <w:hideMark/>
          </w:tcPr>
          <w:p w14:paraId="0DE9A39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100.0</w:t>
            </w:r>
          </w:p>
        </w:tc>
        <w:tc>
          <w:tcPr>
            <w:tcW w:w="1080" w:type="dxa"/>
            <w:tcBorders>
              <w:top w:val="nil"/>
              <w:left w:val="nil"/>
              <w:bottom w:val="nil"/>
              <w:right w:val="nil"/>
            </w:tcBorders>
            <w:shd w:val="clear" w:color="auto" w:fill="auto"/>
            <w:noWrap/>
            <w:vAlign w:val="bottom"/>
            <w:hideMark/>
          </w:tcPr>
          <w:p w14:paraId="573604B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4E5FBC0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120" w:type="dxa"/>
            <w:tcBorders>
              <w:top w:val="nil"/>
              <w:left w:val="nil"/>
              <w:bottom w:val="nil"/>
              <w:right w:val="nil"/>
            </w:tcBorders>
            <w:shd w:val="clear" w:color="auto" w:fill="auto"/>
            <w:noWrap/>
            <w:vAlign w:val="bottom"/>
            <w:hideMark/>
          </w:tcPr>
          <w:p w14:paraId="49BDCA7C"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080" w:type="dxa"/>
            <w:tcBorders>
              <w:top w:val="nil"/>
              <w:left w:val="nil"/>
              <w:bottom w:val="nil"/>
              <w:right w:val="nil"/>
            </w:tcBorders>
            <w:shd w:val="clear" w:color="auto" w:fill="auto"/>
            <w:noWrap/>
            <w:vAlign w:val="bottom"/>
            <w:hideMark/>
          </w:tcPr>
          <w:p w14:paraId="110DE4B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r>
      <w:tr w:rsidR="007653D0" w:rsidRPr="0016235B" w14:paraId="5884AA92" w14:textId="77777777" w:rsidTr="007653D0">
        <w:trPr>
          <w:trHeight w:val="300"/>
        </w:trPr>
        <w:tc>
          <w:tcPr>
            <w:tcW w:w="2260" w:type="dxa"/>
            <w:tcBorders>
              <w:top w:val="nil"/>
              <w:left w:val="nil"/>
              <w:bottom w:val="nil"/>
              <w:right w:val="nil"/>
            </w:tcBorders>
            <w:shd w:val="clear" w:color="auto" w:fill="auto"/>
            <w:noWrap/>
            <w:vAlign w:val="bottom"/>
            <w:hideMark/>
          </w:tcPr>
          <w:p w14:paraId="5C25C321"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South West</w:t>
            </w:r>
          </w:p>
        </w:tc>
        <w:tc>
          <w:tcPr>
            <w:tcW w:w="960" w:type="dxa"/>
            <w:tcBorders>
              <w:top w:val="nil"/>
              <w:left w:val="nil"/>
              <w:bottom w:val="nil"/>
              <w:right w:val="nil"/>
            </w:tcBorders>
            <w:shd w:val="clear" w:color="auto" w:fill="auto"/>
            <w:noWrap/>
            <w:vAlign w:val="bottom"/>
            <w:hideMark/>
          </w:tcPr>
          <w:p w14:paraId="2FBBADC5"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22</w:t>
            </w:r>
          </w:p>
        </w:tc>
        <w:tc>
          <w:tcPr>
            <w:tcW w:w="1220" w:type="dxa"/>
            <w:tcBorders>
              <w:top w:val="nil"/>
              <w:left w:val="nil"/>
              <w:bottom w:val="nil"/>
              <w:right w:val="nil"/>
            </w:tcBorders>
            <w:shd w:val="clear" w:color="auto" w:fill="auto"/>
            <w:noWrap/>
            <w:vAlign w:val="bottom"/>
            <w:hideMark/>
          </w:tcPr>
          <w:p w14:paraId="4E061DCE"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1.04</w:t>
            </w:r>
          </w:p>
        </w:tc>
        <w:tc>
          <w:tcPr>
            <w:tcW w:w="1054" w:type="dxa"/>
            <w:tcBorders>
              <w:top w:val="nil"/>
              <w:left w:val="nil"/>
              <w:bottom w:val="nil"/>
              <w:right w:val="nil"/>
            </w:tcBorders>
            <w:shd w:val="clear" w:color="auto" w:fill="auto"/>
            <w:noWrap/>
            <w:vAlign w:val="bottom"/>
            <w:hideMark/>
          </w:tcPr>
          <w:p w14:paraId="5BB24D5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18.2</w:t>
            </w:r>
          </w:p>
        </w:tc>
        <w:tc>
          <w:tcPr>
            <w:tcW w:w="1080" w:type="dxa"/>
            <w:tcBorders>
              <w:top w:val="nil"/>
              <w:left w:val="nil"/>
              <w:bottom w:val="nil"/>
              <w:right w:val="nil"/>
            </w:tcBorders>
            <w:shd w:val="clear" w:color="auto" w:fill="auto"/>
            <w:noWrap/>
            <w:vAlign w:val="bottom"/>
            <w:hideMark/>
          </w:tcPr>
          <w:p w14:paraId="624EC75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18.2</w:t>
            </w:r>
          </w:p>
        </w:tc>
        <w:tc>
          <w:tcPr>
            <w:tcW w:w="960" w:type="dxa"/>
            <w:tcBorders>
              <w:top w:val="nil"/>
              <w:left w:val="nil"/>
              <w:bottom w:val="nil"/>
              <w:right w:val="nil"/>
            </w:tcBorders>
            <w:shd w:val="clear" w:color="auto" w:fill="auto"/>
            <w:noWrap/>
            <w:vAlign w:val="bottom"/>
            <w:hideMark/>
          </w:tcPr>
          <w:p w14:paraId="03425DA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40.9</w:t>
            </w:r>
          </w:p>
        </w:tc>
        <w:tc>
          <w:tcPr>
            <w:tcW w:w="1120" w:type="dxa"/>
            <w:tcBorders>
              <w:top w:val="nil"/>
              <w:left w:val="nil"/>
              <w:bottom w:val="nil"/>
              <w:right w:val="nil"/>
            </w:tcBorders>
            <w:shd w:val="clear" w:color="auto" w:fill="auto"/>
            <w:noWrap/>
            <w:vAlign w:val="bottom"/>
            <w:hideMark/>
          </w:tcPr>
          <w:p w14:paraId="240F8B9D"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13.6</w:t>
            </w:r>
          </w:p>
        </w:tc>
        <w:tc>
          <w:tcPr>
            <w:tcW w:w="1080" w:type="dxa"/>
            <w:tcBorders>
              <w:top w:val="nil"/>
              <w:left w:val="nil"/>
              <w:bottom w:val="nil"/>
              <w:right w:val="nil"/>
            </w:tcBorders>
            <w:shd w:val="clear" w:color="auto" w:fill="auto"/>
            <w:noWrap/>
            <w:vAlign w:val="bottom"/>
            <w:hideMark/>
          </w:tcPr>
          <w:p w14:paraId="036BC581"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9.1</w:t>
            </w:r>
          </w:p>
        </w:tc>
      </w:tr>
      <w:tr w:rsidR="007653D0" w:rsidRPr="0016235B" w14:paraId="4B7451A8" w14:textId="77777777" w:rsidTr="007653D0">
        <w:trPr>
          <w:trHeight w:val="300"/>
        </w:trPr>
        <w:tc>
          <w:tcPr>
            <w:tcW w:w="2260" w:type="dxa"/>
            <w:tcBorders>
              <w:top w:val="nil"/>
              <w:left w:val="nil"/>
              <w:bottom w:val="nil"/>
              <w:right w:val="nil"/>
            </w:tcBorders>
            <w:shd w:val="clear" w:color="auto" w:fill="auto"/>
            <w:noWrap/>
            <w:vAlign w:val="bottom"/>
            <w:hideMark/>
          </w:tcPr>
          <w:p w14:paraId="74909288" w14:textId="77777777" w:rsidR="007653D0" w:rsidRPr="0016235B" w:rsidRDefault="007653D0" w:rsidP="007653D0">
            <w:pPr>
              <w:spacing w:after="0" w:line="240" w:lineRule="auto"/>
              <w:rPr>
                <w:rFonts w:ascii="Candara" w:eastAsia="Times New Roman" w:hAnsi="Candara" w:cs="Calibri"/>
                <w:color w:val="000000"/>
                <w:sz w:val="20"/>
                <w:szCs w:val="20"/>
              </w:rPr>
            </w:pPr>
            <w:r w:rsidRPr="0016235B">
              <w:rPr>
                <w:rFonts w:ascii="Candara" w:eastAsia="Times New Roman" w:hAnsi="Candara" w:cs="Calibri"/>
                <w:color w:val="000000"/>
                <w:sz w:val="20"/>
                <w:szCs w:val="20"/>
              </w:rPr>
              <w:t>West Nile</w:t>
            </w:r>
          </w:p>
        </w:tc>
        <w:tc>
          <w:tcPr>
            <w:tcW w:w="960" w:type="dxa"/>
            <w:tcBorders>
              <w:top w:val="nil"/>
              <w:left w:val="nil"/>
              <w:bottom w:val="nil"/>
              <w:right w:val="nil"/>
            </w:tcBorders>
            <w:shd w:val="clear" w:color="auto" w:fill="auto"/>
            <w:noWrap/>
            <w:vAlign w:val="bottom"/>
            <w:hideMark/>
          </w:tcPr>
          <w:p w14:paraId="6952500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8</w:t>
            </w:r>
          </w:p>
        </w:tc>
        <w:tc>
          <w:tcPr>
            <w:tcW w:w="1220" w:type="dxa"/>
            <w:tcBorders>
              <w:top w:val="nil"/>
              <w:left w:val="nil"/>
              <w:bottom w:val="nil"/>
              <w:right w:val="nil"/>
            </w:tcBorders>
            <w:shd w:val="clear" w:color="auto" w:fill="auto"/>
            <w:noWrap/>
            <w:vAlign w:val="bottom"/>
            <w:hideMark/>
          </w:tcPr>
          <w:p w14:paraId="15D5410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0.91</w:t>
            </w:r>
          </w:p>
        </w:tc>
        <w:tc>
          <w:tcPr>
            <w:tcW w:w="1054" w:type="dxa"/>
            <w:tcBorders>
              <w:top w:val="nil"/>
              <w:left w:val="nil"/>
              <w:bottom w:val="nil"/>
              <w:right w:val="nil"/>
            </w:tcBorders>
            <w:shd w:val="clear" w:color="auto" w:fill="auto"/>
            <w:noWrap/>
            <w:vAlign w:val="bottom"/>
            <w:hideMark/>
          </w:tcPr>
          <w:p w14:paraId="312BDE7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50.0</w:t>
            </w:r>
          </w:p>
        </w:tc>
        <w:tc>
          <w:tcPr>
            <w:tcW w:w="1080" w:type="dxa"/>
            <w:tcBorders>
              <w:top w:val="nil"/>
              <w:left w:val="nil"/>
              <w:bottom w:val="nil"/>
              <w:right w:val="nil"/>
            </w:tcBorders>
            <w:shd w:val="clear" w:color="auto" w:fill="auto"/>
            <w:noWrap/>
            <w:vAlign w:val="bottom"/>
            <w:hideMark/>
          </w:tcPr>
          <w:p w14:paraId="7B0254E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960" w:type="dxa"/>
            <w:tcBorders>
              <w:top w:val="nil"/>
              <w:left w:val="nil"/>
              <w:bottom w:val="nil"/>
              <w:right w:val="nil"/>
            </w:tcBorders>
            <w:shd w:val="clear" w:color="auto" w:fill="auto"/>
            <w:noWrap/>
            <w:vAlign w:val="bottom"/>
            <w:hideMark/>
          </w:tcPr>
          <w:p w14:paraId="2380A579"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0.0</w:t>
            </w:r>
          </w:p>
        </w:tc>
        <w:tc>
          <w:tcPr>
            <w:tcW w:w="1120" w:type="dxa"/>
            <w:tcBorders>
              <w:top w:val="nil"/>
              <w:left w:val="nil"/>
              <w:bottom w:val="nil"/>
              <w:right w:val="nil"/>
            </w:tcBorders>
            <w:shd w:val="clear" w:color="auto" w:fill="auto"/>
            <w:noWrap/>
            <w:vAlign w:val="bottom"/>
            <w:hideMark/>
          </w:tcPr>
          <w:p w14:paraId="1958CE3A"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c>
          <w:tcPr>
            <w:tcW w:w="1080" w:type="dxa"/>
            <w:tcBorders>
              <w:top w:val="nil"/>
              <w:left w:val="nil"/>
              <w:bottom w:val="nil"/>
              <w:right w:val="nil"/>
            </w:tcBorders>
            <w:shd w:val="clear" w:color="auto" w:fill="auto"/>
            <w:noWrap/>
            <w:vAlign w:val="bottom"/>
            <w:hideMark/>
          </w:tcPr>
          <w:p w14:paraId="7EEC548B"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25.0</w:t>
            </w:r>
          </w:p>
        </w:tc>
      </w:tr>
      <w:tr w:rsidR="007653D0" w:rsidRPr="0016235B" w14:paraId="46726BED" w14:textId="77777777" w:rsidTr="007653D0">
        <w:trPr>
          <w:trHeight w:val="300"/>
        </w:trPr>
        <w:tc>
          <w:tcPr>
            <w:tcW w:w="2260" w:type="dxa"/>
            <w:tcBorders>
              <w:top w:val="nil"/>
              <w:left w:val="nil"/>
              <w:bottom w:val="nil"/>
              <w:right w:val="nil"/>
            </w:tcBorders>
            <w:shd w:val="clear" w:color="auto" w:fill="auto"/>
            <w:noWrap/>
            <w:vAlign w:val="bottom"/>
            <w:hideMark/>
          </w:tcPr>
          <w:p w14:paraId="486D68EE" w14:textId="77777777" w:rsidR="007653D0" w:rsidRPr="0016235B" w:rsidRDefault="007653D0" w:rsidP="007653D0">
            <w:pPr>
              <w:spacing w:after="0" w:line="240" w:lineRule="auto"/>
              <w:jc w:val="right"/>
              <w:rPr>
                <w:rFonts w:ascii="Candara" w:eastAsia="Times New Roman" w:hAnsi="Candara" w:cs="Calibri"/>
                <w:color w:val="000000"/>
              </w:rPr>
            </w:pPr>
          </w:p>
        </w:tc>
        <w:tc>
          <w:tcPr>
            <w:tcW w:w="960" w:type="dxa"/>
            <w:tcBorders>
              <w:top w:val="nil"/>
              <w:left w:val="nil"/>
              <w:bottom w:val="nil"/>
              <w:right w:val="nil"/>
            </w:tcBorders>
            <w:shd w:val="clear" w:color="auto" w:fill="auto"/>
            <w:noWrap/>
            <w:vAlign w:val="bottom"/>
            <w:hideMark/>
          </w:tcPr>
          <w:p w14:paraId="285F5691" w14:textId="77777777" w:rsidR="007653D0" w:rsidRPr="0016235B" w:rsidRDefault="007653D0" w:rsidP="007653D0">
            <w:pPr>
              <w:spacing w:after="0" w:line="240" w:lineRule="auto"/>
              <w:rPr>
                <w:rFonts w:ascii="Candara" w:eastAsia="Times New Roman" w:hAnsi="Candara" w:cs="Times New Roman"/>
                <w:sz w:val="20"/>
                <w:szCs w:val="20"/>
              </w:rPr>
            </w:pPr>
          </w:p>
        </w:tc>
        <w:tc>
          <w:tcPr>
            <w:tcW w:w="1220" w:type="dxa"/>
            <w:tcBorders>
              <w:top w:val="nil"/>
              <w:left w:val="nil"/>
              <w:bottom w:val="nil"/>
              <w:right w:val="nil"/>
            </w:tcBorders>
            <w:shd w:val="clear" w:color="auto" w:fill="auto"/>
            <w:noWrap/>
            <w:vAlign w:val="bottom"/>
            <w:hideMark/>
          </w:tcPr>
          <w:p w14:paraId="6C88C5ED" w14:textId="77777777" w:rsidR="007653D0" w:rsidRPr="0016235B" w:rsidRDefault="007653D0" w:rsidP="007653D0">
            <w:pPr>
              <w:spacing w:after="0" w:line="240" w:lineRule="auto"/>
              <w:rPr>
                <w:rFonts w:ascii="Candara" w:eastAsia="Times New Roman" w:hAnsi="Candara" w:cs="Times New Roman"/>
                <w:sz w:val="20"/>
                <w:szCs w:val="20"/>
              </w:rPr>
            </w:pPr>
          </w:p>
        </w:tc>
        <w:tc>
          <w:tcPr>
            <w:tcW w:w="1054" w:type="dxa"/>
            <w:tcBorders>
              <w:top w:val="nil"/>
              <w:left w:val="nil"/>
              <w:bottom w:val="nil"/>
              <w:right w:val="nil"/>
            </w:tcBorders>
            <w:shd w:val="clear" w:color="auto" w:fill="auto"/>
            <w:noWrap/>
            <w:vAlign w:val="bottom"/>
            <w:hideMark/>
          </w:tcPr>
          <w:p w14:paraId="561DF95A" w14:textId="77777777" w:rsidR="007653D0" w:rsidRPr="0016235B" w:rsidRDefault="007653D0" w:rsidP="007653D0">
            <w:pPr>
              <w:spacing w:after="0" w:line="240" w:lineRule="auto"/>
              <w:rPr>
                <w:rFonts w:ascii="Candara" w:eastAsia="Times New Roman" w:hAnsi="Candara" w:cs="Times New Roman"/>
                <w:sz w:val="20"/>
                <w:szCs w:val="20"/>
              </w:rPr>
            </w:pPr>
          </w:p>
        </w:tc>
        <w:tc>
          <w:tcPr>
            <w:tcW w:w="1080" w:type="dxa"/>
            <w:tcBorders>
              <w:top w:val="nil"/>
              <w:left w:val="nil"/>
              <w:bottom w:val="nil"/>
              <w:right w:val="nil"/>
            </w:tcBorders>
            <w:shd w:val="clear" w:color="auto" w:fill="auto"/>
            <w:noWrap/>
            <w:vAlign w:val="bottom"/>
            <w:hideMark/>
          </w:tcPr>
          <w:p w14:paraId="56F3CD08" w14:textId="77777777" w:rsidR="007653D0" w:rsidRPr="0016235B" w:rsidRDefault="007653D0" w:rsidP="007653D0">
            <w:pPr>
              <w:spacing w:after="0" w:line="240" w:lineRule="auto"/>
              <w:rPr>
                <w:rFonts w:ascii="Candara" w:eastAsia="Times New Roman" w:hAnsi="Candara" w:cs="Times New Roman"/>
                <w:sz w:val="20"/>
                <w:szCs w:val="20"/>
              </w:rPr>
            </w:pPr>
          </w:p>
        </w:tc>
        <w:tc>
          <w:tcPr>
            <w:tcW w:w="960" w:type="dxa"/>
            <w:tcBorders>
              <w:top w:val="nil"/>
              <w:left w:val="nil"/>
              <w:bottom w:val="nil"/>
              <w:right w:val="nil"/>
            </w:tcBorders>
            <w:shd w:val="clear" w:color="auto" w:fill="auto"/>
            <w:noWrap/>
            <w:vAlign w:val="bottom"/>
            <w:hideMark/>
          </w:tcPr>
          <w:p w14:paraId="620D95DA" w14:textId="77777777" w:rsidR="007653D0" w:rsidRPr="0016235B" w:rsidRDefault="007653D0" w:rsidP="007653D0">
            <w:pPr>
              <w:spacing w:after="0" w:line="240" w:lineRule="auto"/>
              <w:rPr>
                <w:rFonts w:ascii="Candara" w:eastAsia="Times New Roman" w:hAnsi="Candara" w:cs="Times New Roman"/>
                <w:sz w:val="20"/>
                <w:szCs w:val="20"/>
              </w:rPr>
            </w:pPr>
          </w:p>
        </w:tc>
        <w:tc>
          <w:tcPr>
            <w:tcW w:w="1120" w:type="dxa"/>
            <w:tcBorders>
              <w:top w:val="nil"/>
              <w:left w:val="nil"/>
              <w:bottom w:val="nil"/>
              <w:right w:val="nil"/>
            </w:tcBorders>
            <w:shd w:val="clear" w:color="auto" w:fill="auto"/>
            <w:noWrap/>
            <w:vAlign w:val="bottom"/>
            <w:hideMark/>
          </w:tcPr>
          <w:p w14:paraId="3E3AC641" w14:textId="77777777" w:rsidR="007653D0" w:rsidRPr="0016235B" w:rsidRDefault="007653D0" w:rsidP="007653D0">
            <w:pPr>
              <w:spacing w:after="0" w:line="240" w:lineRule="auto"/>
              <w:rPr>
                <w:rFonts w:ascii="Candara" w:eastAsia="Times New Roman" w:hAnsi="Candara" w:cs="Times New Roman"/>
                <w:sz w:val="20"/>
                <w:szCs w:val="20"/>
              </w:rPr>
            </w:pPr>
          </w:p>
        </w:tc>
        <w:tc>
          <w:tcPr>
            <w:tcW w:w="1080" w:type="dxa"/>
            <w:tcBorders>
              <w:top w:val="nil"/>
              <w:left w:val="nil"/>
              <w:bottom w:val="nil"/>
              <w:right w:val="nil"/>
            </w:tcBorders>
            <w:shd w:val="clear" w:color="auto" w:fill="auto"/>
            <w:noWrap/>
            <w:vAlign w:val="bottom"/>
            <w:hideMark/>
          </w:tcPr>
          <w:p w14:paraId="6FD48154" w14:textId="77777777" w:rsidR="007653D0" w:rsidRPr="0016235B" w:rsidRDefault="007653D0" w:rsidP="007653D0">
            <w:pPr>
              <w:spacing w:after="0" w:line="240" w:lineRule="auto"/>
              <w:rPr>
                <w:rFonts w:ascii="Candara" w:eastAsia="Times New Roman" w:hAnsi="Candara" w:cs="Times New Roman"/>
                <w:sz w:val="20"/>
                <w:szCs w:val="20"/>
              </w:rPr>
            </w:pPr>
          </w:p>
        </w:tc>
      </w:tr>
      <w:tr w:rsidR="007653D0" w:rsidRPr="0016235B" w14:paraId="4AAFE9E0" w14:textId="77777777" w:rsidTr="007653D0">
        <w:trPr>
          <w:trHeight w:val="300"/>
        </w:trPr>
        <w:tc>
          <w:tcPr>
            <w:tcW w:w="2260" w:type="dxa"/>
            <w:tcBorders>
              <w:top w:val="nil"/>
              <w:left w:val="nil"/>
              <w:bottom w:val="nil"/>
              <w:right w:val="nil"/>
            </w:tcBorders>
            <w:shd w:val="clear" w:color="000000" w:fill="E7E6E6"/>
            <w:noWrap/>
            <w:vAlign w:val="bottom"/>
            <w:hideMark/>
          </w:tcPr>
          <w:p w14:paraId="2EA3390B" w14:textId="77777777" w:rsidR="007653D0" w:rsidRPr="0016235B" w:rsidRDefault="007653D0" w:rsidP="007653D0">
            <w:pPr>
              <w:spacing w:after="0" w:line="240" w:lineRule="auto"/>
              <w:rPr>
                <w:rFonts w:ascii="Candara" w:eastAsia="Times New Roman" w:hAnsi="Candara" w:cs="Calibri"/>
                <w:b/>
                <w:bCs/>
                <w:color w:val="000000"/>
                <w:sz w:val="20"/>
                <w:szCs w:val="20"/>
              </w:rPr>
            </w:pPr>
            <w:r w:rsidRPr="0016235B">
              <w:rPr>
                <w:rFonts w:ascii="Candara" w:eastAsia="Times New Roman" w:hAnsi="Candara" w:cs="Calibri"/>
                <w:b/>
                <w:bCs/>
                <w:color w:val="000000"/>
                <w:sz w:val="20"/>
                <w:szCs w:val="20"/>
              </w:rPr>
              <w:t xml:space="preserve">Uganda </w:t>
            </w:r>
          </w:p>
        </w:tc>
        <w:tc>
          <w:tcPr>
            <w:tcW w:w="960" w:type="dxa"/>
            <w:tcBorders>
              <w:top w:val="nil"/>
              <w:left w:val="nil"/>
              <w:bottom w:val="nil"/>
              <w:right w:val="nil"/>
            </w:tcBorders>
            <w:shd w:val="clear" w:color="000000" w:fill="E7E6E6"/>
            <w:noWrap/>
            <w:vAlign w:val="bottom"/>
            <w:hideMark/>
          </w:tcPr>
          <w:p w14:paraId="46D01B96"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118</w:t>
            </w:r>
          </w:p>
        </w:tc>
        <w:tc>
          <w:tcPr>
            <w:tcW w:w="1220" w:type="dxa"/>
            <w:tcBorders>
              <w:top w:val="nil"/>
              <w:left w:val="nil"/>
              <w:bottom w:val="nil"/>
              <w:right w:val="nil"/>
            </w:tcBorders>
            <w:shd w:val="clear" w:color="000000" w:fill="E7E6E6"/>
            <w:noWrap/>
            <w:vAlign w:val="bottom"/>
            <w:hideMark/>
          </w:tcPr>
          <w:p w14:paraId="38BF12F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1.22</w:t>
            </w:r>
          </w:p>
        </w:tc>
        <w:tc>
          <w:tcPr>
            <w:tcW w:w="1054" w:type="dxa"/>
            <w:tcBorders>
              <w:top w:val="nil"/>
              <w:left w:val="nil"/>
              <w:bottom w:val="nil"/>
              <w:right w:val="nil"/>
            </w:tcBorders>
            <w:shd w:val="clear" w:color="000000" w:fill="E7E6E6"/>
            <w:noWrap/>
            <w:vAlign w:val="bottom"/>
            <w:hideMark/>
          </w:tcPr>
          <w:p w14:paraId="1548A1B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36.4</w:t>
            </w:r>
          </w:p>
        </w:tc>
        <w:tc>
          <w:tcPr>
            <w:tcW w:w="1080" w:type="dxa"/>
            <w:tcBorders>
              <w:top w:val="nil"/>
              <w:left w:val="nil"/>
              <w:bottom w:val="nil"/>
              <w:right w:val="nil"/>
            </w:tcBorders>
            <w:shd w:val="clear" w:color="000000" w:fill="E7E6E6"/>
            <w:noWrap/>
            <w:vAlign w:val="bottom"/>
            <w:hideMark/>
          </w:tcPr>
          <w:p w14:paraId="1E71DF73"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16.1</w:t>
            </w:r>
          </w:p>
        </w:tc>
        <w:tc>
          <w:tcPr>
            <w:tcW w:w="960" w:type="dxa"/>
            <w:tcBorders>
              <w:top w:val="nil"/>
              <w:left w:val="nil"/>
              <w:bottom w:val="nil"/>
              <w:right w:val="nil"/>
            </w:tcBorders>
            <w:shd w:val="clear" w:color="000000" w:fill="E7E6E6"/>
            <w:noWrap/>
            <w:vAlign w:val="bottom"/>
            <w:hideMark/>
          </w:tcPr>
          <w:p w14:paraId="1196080F"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18.6</w:t>
            </w:r>
          </w:p>
        </w:tc>
        <w:tc>
          <w:tcPr>
            <w:tcW w:w="1120" w:type="dxa"/>
            <w:tcBorders>
              <w:top w:val="nil"/>
              <w:left w:val="nil"/>
              <w:bottom w:val="nil"/>
              <w:right w:val="nil"/>
            </w:tcBorders>
            <w:shd w:val="clear" w:color="000000" w:fill="E7E6E6"/>
            <w:noWrap/>
            <w:vAlign w:val="bottom"/>
            <w:hideMark/>
          </w:tcPr>
          <w:p w14:paraId="43BFF3A7"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14.4</w:t>
            </w:r>
          </w:p>
        </w:tc>
        <w:tc>
          <w:tcPr>
            <w:tcW w:w="1080" w:type="dxa"/>
            <w:tcBorders>
              <w:top w:val="nil"/>
              <w:left w:val="nil"/>
              <w:bottom w:val="nil"/>
              <w:right w:val="nil"/>
            </w:tcBorders>
            <w:shd w:val="clear" w:color="000000" w:fill="E7E6E6"/>
            <w:noWrap/>
            <w:vAlign w:val="bottom"/>
            <w:hideMark/>
          </w:tcPr>
          <w:p w14:paraId="35F31D18" w14:textId="77777777" w:rsidR="007653D0" w:rsidRPr="0016235B" w:rsidRDefault="007653D0" w:rsidP="007653D0">
            <w:pPr>
              <w:spacing w:after="0" w:line="240" w:lineRule="auto"/>
              <w:jc w:val="right"/>
              <w:rPr>
                <w:rFonts w:ascii="Candara" w:eastAsia="Times New Roman" w:hAnsi="Candara" w:cs="Calibri"/>
                <w:color w:val="000000"/>
              </w:rPr>
            </w:pPr>
            <w:r w:rsidRPr="0016235B">
              <w:rPr>
                <w:rFonts w:ascii="Candara" w:eastAsia="Times New Roman" w:hAnsi="Candara" w:cs="Calibri"/>
                <w:color w:val="000000"/>
              </w:rPr>
              <w:t>14.4</w:t>
            </w:r>
          </w:p>
        </w:tc>
      </w:tr>
    </w:tbl>
    <w:p w14:paraId="59AC0D24" w14:textId="77777777" w:rsidR="007653D0" w:rsidRPr="0016235B" w:rsidRDefault="007653D0" w:rsidP="005722F2">
      <w:pPr>
        <w:pStyle w:val="ListParagraph"/>
        <w:numPr>
          <w:ilvl w:val="0"/>
          <w:numId w:val="33"/>
        </w:numPr>
        <w:rPr>
          <w:rFonts w:ascii="Candara" w:hAnsi="Candara"/>
        </w:rPr>
      </w:pPr>
      <w:r w:rsidRPr="0016235B">
        <w:rPr>
          <w:rFonts w:ascii="Candara" w:hAnsi="Candara"/>
        </w:rPr>
        <w:t>18.6% of the facilities had matching reporting figures.</w:t>
      </w:r>
    </w:p>
    <w:p w14:paraId="388104F5" w14:textId="77777777" w:rsidR="007653D0" w:rsidRPr="0016235B" w:rsidRDefault="007653D0" w:rsidP="005722F2">
      <w:pPr>
        <w:pStyle w:val="ListParagraph"/>
        <w:numPr>
          <w:ilvl w:val="0"/>
          <w:numId w:val="33"/>
        </w:numPr>
        <w:rPr>
          <w:rFonts w:ascii="Candara" w:hAnsi="Candara"/>
        </w:rPr>
      </w:pPr>
      <w:r w:rsidRPr="0016235B">
        <w:rPr>
          <w:rFonts w:ascii="Candara" w:hAnsi="Candara"/>
        </w:rPr>
        <w:t>52.5% of the facilities were over reporting while 28.8% were under reporting.</w:t>
      </w:r>
    </w:p>
    <w:p w14:paraId="48A7ED8A" w14:textId="77777777" w:rsidR="007653D0" w:rsidRPr="0016235B" w:rsidRDefault="007653D0" w:rsidP="005722F2">
      <w:pPr>
        <w:pStyle w:val="ListParagraph"/>
        <w:numPr>
          <w:ilvl w:val="0"/>
          <w:numId w:val="33"/>
        </w:numPr>
        <w:rPr>
          <w:rFonts w:ascii="Candara" w:hAnsi="Candara"/>
        </w:rPr>
      </w:pPr>
      <w:r w:rsidRPr="0016235B">
        <w:rPr>
          <w:rFonts w:ascii="Candara" w:hAnsi="Candara"/>
        </w:rPr>
        <w:t>36.4% of the facilities were over reporting by over 10% and 14.4% under reporting by over 10%.</w:t>
      </w:r>
    </w:p>
    <w:p w14:paraId="6D50AC5C" w14:textId="77777777" w:rsidR="007653D0" w:rsidRPr="0016235B" w:rsidRDefault="007653D0" w:rsidP="007653D0">
      <w:pPr>
        <w:pStyle w:val="ListParagraph"/>
        <w:tabs>
          <w:tab w:val="left" w:pos="1170"/>
        </w:tabs>
        <w:jc w:val="both"/>
        <w:rPr>
          <w:rFonts w:ascii="Candara" w:hAnsi="Candara"/>
          <w:b/>
          <w:bCs/>
          <w:sz w:val="24"/>
          <w:szCs w:val="24"/>
        </w:rPr>
      </w:pPr>
    </w:p>
    <w:p w14:paraId="4AF12E79" w14:textId="77777777" w:rsidR="007653D0" w:rsidRPr="0016235B" w:rsidRDefault="007653D0" w:rsidP="007653D0">
      <w:pPr>
        <w:pStyle w:val="ListParagraph"/>
        <w:tabs>
          <w:tab w:val="left" w:pos="1170"/>
        </w:tabs>
        <w:jc w:val="both"/>
        <w:rPr>
          <w:rFonts w:ascii="Candara" w:hAnsi="Candara"/>
          <w:b/>
          <w:bCs/>
          <w:sz w:val="24"/>
          <w:szCs w:val="24"/>
        </w:rPr>
      </w:pPr>
    </w:p>
    <w:p w14:paraId="2190A4E9" w14:textId="77777777" w:rsidR="007653D0" w:rsidRPr="0016235B" w:rsidRDefault="007653D0" w:rsidP="007653D0">
      <w:pPr>
        <w:pStyle w:val="ListParagraph"/>
        <w:tabs>
          <w:tab w:val="left" w:pos="1170"/>
        </w:tabs>
        <w:jc w:val="both"/>
        <w:rPr>
          <w:rFonts w:ascii="Candara" w:hAnsi="Candara"/>
          <w:b/>
          <w:bCs/>
          <w:sz w:val="24"/>
          <w:szCs w:val="24"/>
        </w:rPr>
      </w:pPr>
    </w:p>
    <w:p w14:paraId="45134706" w14:textId="77777777" w:rsidR="007653D0" w:rsidRPr="0016235B" w:rsidRDefault="007653D0" w:rsidP="007653D0">
      <w:pPr>
        <w:pStyle w:val="ListParagraph"/>
        <w:tabs>
          <w:tab w:val="left" w:pos="1170"/>
        </w:tabs>
        <w:jc w:val="both"/>
        <w:rPr>
          <w:rFonts w:ascii="Candara" w:hAnsi="Candara"/>
          <w:b/>
          <w:bCs/>
          <w:sz w:val="24"/>
          <w:szCs w:val="24"/>
        </w:rPr>
      </w:pPr>
    </w:p>
    <w:p w14:paraId="0F989CDB" w14:textId="77777777" w:rsidR="007653D0" w:rsidRPr="0016235B" w:rsidRDefault="007653D0" w:rsidP="007653D0">
      <w:pPr>
        <w:pStyle w:val="ListParagraph"/>
        <w:tabs>
          <w:tab w:val="left" w:pos="1170"/>
        </w:tabs>
        <w:jc w:val="both"/>
        <w:rPr>
          <w:rFonts w:ascii="Candara" w:hAnsi="Candara"/>
          <w:b/>
          <w:bCs/>
          <w:sz w:val="24"/>
          <w:szCs w:val="24"/>
        </w:rPr>
      </w:pPr>
    </w:p>
    <w:p w14:paraId="6CC631B5" w14:textId="77777777" w:rsidR="007653D0" w:rsidRPr="0016235B" w:rsidRDefault="007653D0" w:rsidP="007653D0">
      <w:pPr>
        <w:pStyle w:val="ListParagraph"/>
        <w:tabs>
          <w:tab w:val="left" w:pos="1170"/>
        </w:tabs>
        <w:jc w:val="both"/>
        <w:rPr>
          <w:rFonts w:ascii="Candara" w:hAnsi="Candara"/>
          <w:b/>
          <w:bCs/>
          <w:sz w:val="24"/>
          <w:szCs w:val="24"/>
        </w:rPr>
      </w:pPr>
    </w:p>
    <w:p w14:paraId="0A6DD6C8" w14:textId="77777777" w:rsidR="007653D0" w:rsidRPr="0016235B" w:rsidRDefault="007653D0" w:rsidP="007653D0">
      <w:pPr>
        <w:pStyle w:val="ListParagraph"/>
        <w:tabs>
          <w:tab w:val="left" w:pos="1170"/>
        </w:tabs>
        <w:jc w:val="both"/>
        <w:rPr>
          <w:rFonts w:ascii="Candara" w:hAnsi="Candara"/>
          <w:b/>
          <w:bCs/>
          <w:sz w:val="24"/>
          <w:szCs w:val="24"/>
        </w:rPr>
      </w:pPr>
    </w:p>
    <w:p w14:paraId="32D56B08" w14:textId="77777777" w:rsidR="007653D0" w:rsidRPr="0016235B" w:rsidRDefault="007653D0" w:rsidP="007653D0">
      <w:pPr>
        <w:pStyle w:val="ListParagraph"/>
        <w:tabs>
          <w:tab w:val="left" w:pos="1170"/>
        </w:tabs>
        <w:jc w:val="both"/>
        <w:rPr>
          <w:rFonts w:ascii="Candara" w:hAnsi="Candara"/>
          <w:b/>
          <w:bCs/>
          <w:sz w:val="24"/>
          <w:szCs w:val="24"/>
        </w:rPr>
      </w:pPr>
    </w:p>
    <w:p w14:paraId="4077EA79" w14:textId="77777777" w:rsidR="007653D0" w:rsidRPr="0016235B" w:rsidRDefault="007653D0" w:rsidP="007653D0">
      <w:pPr>
        <w:pStyle w:val="ListParagraph"/>
        <w:tabs>
          <w:tab w:val="left" w:pos="1170"/>
        </w:tabs>
        <w:jc w:val="both"/>
        <w:rPr>
          <w:rFonts w:ascii="Candara" w:hAnsi="Candara"/>
          <w:b/>
          <w:bCs/>
          <w:sz w:val="24"/>
          <w:szCs w:val="24"/>
        </w:rPr>
      </w:pPr>
    </w:p>
    <w:p w14:paraId="536AF242" w14:textId="77777777" w:rsidR="007653D0" w:rsidRPr="0016235B" w:rsidRDefault="007653D0" w:rsidP="007653D0">
      <w:pPr>
        <w:pStyle w:val="ListParagraph"/>
        <w:tabs>
          <w:tab w:val="left" w:pos="1170"/>
        </w:tabs>
        <w:jc w:val="both"/>
        <w:rPr>
          <w:rFonts w:ascii="Candara" w:hAnsi="Candara"/>
          <w:b/>
          <w:bCs/>
          <w:sz w:val="24"/>
          <w:szCs w:val="24"/>
        </w:rPr>
      </w:pPr>
    </w:p>
    <w:p w14:paraId="48DCA0B2" w14:textId="77777777" w:rsidR="007653D0" w:rsidRPr="0016235B" w:rsidRDefault="007653D0" w:rsidP="00B8030E">
      <w:pPr>
        <w:pStyle w:val="Heading3"/>
        <w:rPr>
          <w:rFonts w:ascii="Candara" w:hAnsi="Candara"/>
          <w:b/>
        </w:rPr>
      </w:pPr>
      <w:r w:rsidRPr="0016235B">
        <w:rPr>
          <w:rFonts w:ascii="Candara" w:hAnsi="Candara"/>
        </w:rPr>
        <w:br w:type="page"/>
      </w:r>
      <w:bookmarkStart w:id="67" w:name="_Toc11494072"/>
      <w:r w:rsidRPr="0016235B">
        <w:rPr>
          <w:rFonts w:ascii="Candara" w:hAnsi="Candara"/>
          <w:b/>
        </w:rPr>
        <w:t>4.216 Facility level system assessment</w:t>
      </w:r>
      <w:bookmarkEnd w:id="67"/>
      <w:r w:rsidRPr="0016235B">
        <w:rPr>
          <w:rFonts w:ascii="Candara" w:hAnsi="Candara"/>
          <w:b/>
        </w:rPr>
        <w:t xml:space="preserve"> </w:t>
      </w:r>
    </w:p>
    <w:p w14:paraId="530DBAE2" w14:textId="77777777" w:rsidR="007653D0" w:rsidRPr="0016235B" w:rsidRDefault="007653D0" w:rsidP="007653D0">
      <w:pPr>
        <w:jc w:val="both"/>
        <w:rPr>
          <w:rFonts w:ascii="Candara" w:hAnsi="Candara"/>
          <w:sz w:val="24"/>
          <w:szCs w:val="24"/>
        </w:rPr>
      </w:pPr>
      <w:r w:rsidRPr="0016235B">
        <w:rPr>
          <w:rFonts w:ascii="Candara" w:hAnsi="Candara"/>
          <w:sz w:val="24"/>
          <w:szCs w:val="24"/>
        </w:rPr>
        <w:t xml:space="preserve">The system assessment examined attributes that affect system functioning at the facility level and included: </w:t>
      </w:r>
    </w:p>
    <w:p w14:paraId="50C7515C" w14:textId="77777777" w:rsidR="007653D0" w:rsidRPr="0016235B" w:rsidRDefault="007653D0" w:rsidP="005722F2">
      <w:pPr>
        <w:pStyle w:val="ListParagraph"/>
        <w:numPr>
          <w:ilvl w:val="0"/>
          <w:numId w:val="28"/>
        </w:numPr>
        <w:jc w:val="both"/>
        <w:rPr>
          <w:rFonts w:ascii="Candara" w:hAnsi="Candara"/>
          <w:sz w:val="24"/>
          <w:szCs w:val="24"/>
        </w:rPr>
      </w:pPr>
      <w:r w:rsidRPr="0016235B">
        <w:rPr>
          <w:rFonts w:ascii="Candara" w:hAnsi="Candara"/>
          <w:sz w:val="24"/>
          <w:szCs w:val="24"/>
        </w:rPr>
        <w:t>Availability of trained staff</w:t>
      </w:r>
    </w:p>
    <w:p w14:paraId="0989076C" w14:textId="77777777" w:rsidR="007653D0" w:rsidRPr="0016235B" w:rsidRDefault="007653D0" w:rsidP="005722F2">
      <w:pPr>
        <w:pStyle w:val="ListParagraph"/>
        <w:numPr>
          <w:ilvl w:val="0"/>
          <w:numId w:val="28"/>
        </w:numPr>
        <w:jc w:val="both"/>
        <w:rPr>
          <w:rFonts w:ascii="Candara" w:hAnsi="Candara"/>
          <w:sz w:val="24"/>
          <w:szCs w:val="24"/>
        </w:rPr>
      </w:pPr>
      <w:r w:rsidRPr="0016235B">
        <w:rPr>
          <w:rFonts w:ascii="Candara" w:hAnsi="Candara"/>
          <w:sz w:val="24"/>
          <w:szCs w:val="24"/>
        </w:rPr>
        <w:t>Availability of guidelines</w:t>
      </w:r>
    </w:p>
    <w:p w14:paraId="68EE7B45" w14:textId="77777777" w:rsidR="007653D0" w:rsidRPr="0016235B" w:rsidRDefault="007653D0" w:rsidP="005722F2">
      <w:pPr>
        <w:pStyle w:val="ListParagraph"/>
        <w:numPr>
          <w:ilvl w:val="0"/>
          <w:numId w:val="28"/>
        </w:numPr>
        <w:jc w:val="both"/>
        <w:rPr>
          <w:rFonts w:ascii="Candara" w:hAnsi="Candara"/>
          <w:sz w:val="24"/>
          <w:szCs w:val="24"/>
        </w:rPr>
      </w:pPr>
      <w:r w:rsidRPr="0016235B">
        <w:rPr>
          <w:rFonts w:ascii="Candara" w:hAnsi="Candara"/>
          <w:sz w:val="24"/>
          <w:szCs w:val="24"/>
        </w:rPr>
        <w:t>Stock-outs</w:t>
      </w:r>
    </w:p>
    <w:p w14:paraId="1FFBF962" w14:textId="77777777" w:rsidR="007653D0" w:rsidRPr="0016235B" w:rsidRDefault="007653D0" w:rsidP="005722F2">
      <w:pPr>
        <w:pStyle w:val="ListParagraph"/>
        <w:numPr>
          <w:ilvl w:val="0"/>
          <w:numId w:val="28"/>
        </w:numPr>
        <w:jc w:val="both"/>
        <w:rPr>
          <w:rFonts w:ascii="Candara" w:hAnsi="Candara"/>
          <w:sz w:val="24"/>
          <w:szCs w:val="24"/>
        </w:rPr>
      </w:pPr>
      <w:r w:rsidRPr="0016235B">
        <w:rPr>
          <w:rFonts w:ascii="Candara" w:hAnsi="Candara"/>
          <w:sz w:val="24"/>
          <w:szCs w:val="24"/>
        </w:rPr>
        <w:t>Supervision and feedback</w:t>
      </w:r>
    </w:p>
    <w:p w14:paraId="209AECFC" w14:textId="77777777" w:rsidR="007653D0" w:rsidRPr="0016235B" w:rsidRDefault="007653D0" w:rsidP="005722F2">
      <w:pPr>
        <w:pStyle w:val="ListParagraph"/>
        <w:numPr>
          <w:ilvl w:val="0"/>
          <w:numId w:val="28"/>
        </w:numPr>
        <w:jc w:val="both"/>
        <w:rPr>
          <w:rFonts w:ascii="Candara" w:hAnsi="Candara"/>
          <w:sz w:val="24"/>
          <w:szCs w:val="24"/>
        </w:rPr>
      </w:pPr>
      <w:r w:rsidRPr="0016235B">
        <w:rPr>
          <w:rFonts w:ascii="Candara" w:hAnsi="Candara"/>
          <w:sz w:val="24"/>
          <w:szCs w:val="24"/>
        </w:rPr>
        <w:t>Analysis and use of data</w:t>
      </w:r>
    </w:p>
    <w:p w14:paraId="728244DA"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 xml:space="preserve">Figure </w:t>
      </w:r>
      <w:proofErr w:type="spellStart"/>
      <w:r w:rsidRPr="0016235B">
        <w:rPr>
          <w:rFonts w:ascii="Candara" w:hAnsi="Candara"/>
          <w:b/>
          <w:bCs/>
          <w:sz w:val="24"/>
          <w:szCs w:val="24"/>
        </w:rPr>
        <w:t>xxxx</w:t>
      </w:r>
      <w:proofErr w:type="spellEnd"/>
      <w:r w:rsidRPr="0016235B">
        <w:rPr>
          <w:rFonts w:ascii="Candara" w:hAnsi="Candara"/>
          <w:b/>
          <w:bCs/>
          <w:sz w:val="24"/>
          <w:szCs w:val="24"/>
        </w:rPr>
        <w:t>: Availability and functionality of key system factors</w:t>
      </w:r>
    </w:p>
    <w:p w14:paraId="0A986013" w14:textId="77777777" w:rsidR="007653D0" w:rsidRPr="0016235B" w:rsidRDefault="007653D0" w:rsidP="007653D0">
      <w:pPr>
        <w:jc w:val="both"/>
        <w:rPr>
          <w:rFonts w:ascii="Candara" w:hAnsi="Candara"/>
          <w:sz w:val="24"/>
          <w:szCs w:val="24"/>
        </w:rPr>
      </w:pPr>
      <w:r w:rsidRPr="0016235B">
        <w:rPr>
          <w:rFonts w:ascii="Candara" w:hAnsi="Candara"/>
          <w:noProof/>
          <w:sz w:val="24"/>
          <w:szCs w:val="24"/>
        </w:rPr>
        <w:drawing>
          <wp:inline distT="0" distB="0" distL="0" distR="0" wp14:anchorId="43573F5D" wp14:editId="052698C6">
            <wp:extent cx="5338763" cy="2909888"/>
            <wp:effectExtent l="0" t="0" r="14605" b="5080"/>
            <wp:docPr id="40" name="Chart 40">
              <a:extLst xmlns:a="http://schemas.openxmlformats.org/drawingml/2006/main">
                <a:ext uri="{FF2B5EF4-FFF2-40B4-BE49-F238E27FC236}">
                  <a16:creationId xmlns:a16="http://schemas.microsoft.com/office/drawing/2014/main" id="{187FE8F7-ABA0-4D77-875D-2196808E8C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p>
    <w:p w14:paraId="12AA7C91" w14:textId="77777777" w:rsidR="007653D0" w:rsidRPr="0016235B" w:rsidRDefault="007653D0" w:rsidP="007653D0">
      <w:pPr>
        <w:jc w:val="both"/>
        <w:rPr>
          <w:rFonts w:ascii="Candara" w:hAnsi="Candara"/>
          <w:sz w:val="24"/>
          <w:szCs w:val="24"/>
        </w:rPr>
      </w:pPr>
    </w:p>
    <w:p w14:paraId="31797AFA" w14:textId="77777777" w:rsidR="007653D0" w:rsidRPr="0016235B" w:rsidRDefault="007653D0" w:rsidP="007653D0">
      <w:pPr>
        <w:rPr>
          <w:rFonts w:ascii="Candara" w:hAnsi="Candara"/>
          <w:b/>
          <w:bCs/>
          <w:sz w:val="24"/>
          <w:szCs w:val="24"/>
        </w:rPr>
      </w:pPr>
      <w:r w:rsidRPr="0016235B">
        <w:rPr>
          <w:rFonts w:ascii="Candara" w:hAnsi="Candara"/>
          <w:b/>
          <w:bCs/>
          <w:sz w:val="24"/>
          <w:szCs w:val="24"/>
        </w:rPr>
        <w:br w:type="page"/>
      </w:r>
    </w:p>
    <w:p w14:paraId="1C6F9A6B" w14:textId="77777777" w:rsidR="007653D0" w:rsidRPr="0016235B" w:rsidRDefault="007653D0" w:rsidP="007653D0">
      <w:pPr>
        <w:jc w:val="both"/>
        <w:rPr>
          <w:rFonts w:ascii="Candara" w:hAnsi="Candara"/>
          <w:b/>
          <w:bCs/>
          <w:sz w:val="24"/>
          <w:szCs w:val="24"/>
        </w:rPr>
      </w:pPr>
      <w:r w:rsidRPr="0016235B">
        <w:rPr>
          <w:rFonts w:ascii="Candara" w:hAnsi="Candara"/>
          <w:b/>
          <w:bCs/>
          <w:sz w:val="24"/>
          <w:szCs w:val="24"/>
        </w:rPr>
        <w:t xml:space="preserve">Table </w:t>
      </w:r>
      <w:proofErr w:type="spellStart"/>
      <w:r w:rsidRPr="0016235B">
        <w:rPr>
          <w:rFonts w:ascii="Candara" w:hAnsi="Candara"/>
          <w:b/>
          <w:bCs/>
          <w:sz w:val="24"/>
          <w:szCs w:val="24"/>
        </w:rPr>
        <w:t>xxxx</w:t>
      </w:r>
      <w:proofErr w:type="spellEnd"/>
      <w:r w:rsidRPr="0016235B">
        <w:rPr>
          <w:rFonts w:ascii="Candara" w:hAnsi="Candara"/>
          <w:b/>
          <w:bCs/>
          <w:sz w:val="24"/>
          <w:szCs w:val="24"/>
        </w:rPr>
        <w:t>: Percentage of health facilities meeting system requirement</w:t>
      </w:r>
    </w:p>
    <w:tbl>
      <w:tblPr>
        <w:tblW w:w="8647" w:type="dxa"/>
        <w:tblLook w:val="0600" w:firstRow="0" w:lastRow="0" w:firstColumn="0" w:lastColumn="0" w:noHBand="1" w:noVBand="1"/>
      </w:tblPr>
      <w:tblGrid>
        <w:gridCol w:w="7143"/>
        <w:gridCol w:w="1504"/>
      </w:tblGrid>
      <w:tr w:rsidR="007653D0" w:rsidRPr="0016235B" w14:paraId="2DEFFA99" w14:textId="77777777" w:rsidTr="007653D0">
        <w:trPr>
          <w:trHeight w:val="462"/>
        </w:trPr>
        <w:tc>
          <w:tcPr>
            <w:tcW w:w="7143"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0083CD4C" w14:textId="77777777" w:rsidR="007653D0" w:rsidRPr="0016235B" w:rsidRDefault="007653D0" w:rsidP="007653D0">
            <w:pPr>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Indicator</w:t>
            </w:r>
          </w:p>
        </w:tc>
        <w:tc>
          <w:tcPr>
            <w:tcW w:w="1504" w:type="dxa"/>
            <w:tcBorders>
              <w:top w:val="single" w:sz="4" w:space="0" w:color="auto"/>
              <w:left w:val="nil"/>
              <w:bottom w:val="single" w:sz="4" w:space="0" w:color="auto"/>
              <w:right w:val="single" w:sz="4" w:space="0" w:color="auto"/>
            </w:tcBorders>
            <w:shd w:val="clear" w:color="auto" w:fill="A5A5A5" w:themeFill="accent3"/>
          </w:tcPr>
          <w:p w14:paraId="5B678897" w14:textId="77777777" w:rsidR="007653D0" w:rsidRPr="0016235B" w:rsidRDefault="007653D0" w:rsidP="007653D0">
            <w:pPr>
              <w:ind w:firstLineChars="100" w:firstLine="241"/>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N=145 (%)</w:t>
            </w:r>
          </w:p>
        </w:tc>
      </w:tr>
      <w:tr w:rsidR="007653D0" w:rsidRPr="0016235B" w14:paraId="59DAF308" w14:textId="77777777" w:rsidTr="007653D0">
        <w:trPr>
          <w:trHeight w:val="462"/>
        </w:trPr>
        <w:tc>
          <w:tcPr>
            <w:tcW w:w="7143"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6A6D9A8B" w14:textId="77777777" w:rsidR="007653D0" w:rsidRPr="0016235B" w:rsidRDefault="007653D0" w:rsidP="007653D0">
            <w:pPr>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1. M&amp;E structure and functions:</w:t>
            </w:r>
          </w:p>
        </w:tc>
        <w:tc>
          <w:tcPr>
            <w:tcW w:w="1504" w:type="dxa"/>
            <w:tcBorders>
              <w:top w:val="single" w:sz="4" w:space="0" w:color="auto"/>
              <w:left w:val="nil"/>
              <w:bottom w:val="single" w:sz="4" w:space="0" w:color="auto"/>
              <w:right w:val="single" w:sz="4" w:space="0" w:color="auto"/>
            </w:tcBorders>
            <w:shd w:val="clear" w:color="auto" w:fill="A5A5A5" w:themeFill="accent3"/>
            <w:hideMark/>
          </w:tcPr>
          <w:p w14:paraId="09CEB3F8" w14:textId="77777777" w:rsidR="007653D0" w:rsidRPr="0016235B" w:rsidRDefault="007653D0" w:rsidP="007653D0">
            <w:pPr>
              <w:ind w:firstLineChars="100" w:firstLine="241"/>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111(73.0)</w:t>
            </w:r>
          </w:p>
        </w:tc>
      </w:tr>
      <w:tr w:rsidR="007653D0" w:rsidRPr="0016235B" w14:paraId="52E43996"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3FAA4DC0"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Relevant staff assigned to record delivery of services</w:t>
            </w:r>
          </w:p>
        </w:tc>
        <w:tc>
          <w:tcPr>
            <w:tcW w:w="1504" w:type="dxa"/>
            <w:tcBorders>
              <w:top w:val="nil"/>
              <w:left w:val="nil"/>
              <w:bottom w:val="single" w:sz="4" w:space="0" w:color="auto"/>
              <w:right w:val="single" w:sz="4" w:space="0" w:color="auto"/>
            </w:tcBorders>
            <w:shd w:val="clear" w:color="auto" w:fill="auto"/>
            <w:vAlign w:val="center"/>
            <w:hideMark/>
          </w:tcPr>
          <w:p w14:paraId="0375A269"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122 (84.1)</w:t>
            </w:r>
          </w:p>
        </w:tc>
      </w:tr>
      <w:tr w:rsidR="007653D0" w:rsidRPr="0016235B" w14:paraId="2E68D851"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1882061D"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Staff collecting &amp; compiling reports/data appropriately trained</w:t>
            </w:r>
          </w:p>
        </w:tc>
        <w:tc>
          <w:tcPr>
            <w:tcW w:w="1504" w:type="dxa"/>
            <w:tcBorders>
              <w:top w:val="nil"/>
              <w:left w:val="nil"/>
              <w:bottom w:val="single" w:sz="4" w:space="0" w:color="auto"/>
              <w:right w:val="single" w:sz="4" w:space="0" w:color="auto"/>
            </w:tcBorders>
            <w:shd w:val="clear" w:color="auto" w:fill="auto"/>
            <w:vAlign w:val="center"/>
            <w:hideMark/>
          </w:tcPr>
          <w:p w14:paraId="4F31391C"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128 (88.3)</w:t>
            </w:r>
          </w:p>
        </w:tc>
      </w:tr>
      <w:tr w:rsidR="007653D0" w:rsidRPr="0016235B" w14:paraId="5031C7B8"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073F598C"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Had staff assigned to review reports before submission to the next level</w:t>
            </w:r>
          </w:p>
        </w:tc>
        <w:tc>
          <w:tcPr>
            <w:tcW w:w="1504" w:type="dxa"/>
            <w:tcBorders>
              <w:top w:val="nil"/>
              <w:left w:val="nil"/>
              <w:bottom w:val="single" w:sz="4" w:space="0" w:color="auto"/>
              <w:right w:val="single" w:sz="4" w:space="0" w:color="auto"/>
            </w:tcBorders>
            <w:shd w:val="clear" w:color="auto" w:fill="auto"/>
            <w:vAlign w:val="center"/>
            <w:hideMark/>
          </w:tcPr>
          <w:p w14:paraId="245AF33A"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126 (86.9)</w:t>
            </w:r>
          </w:p>
        </w:tc>
      </w:tr>
      <w:tr w:rsidR="007653D0" w:rsidRPr="0016235B" w14:paraId="01A4C194"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20C7BAE8" w14:textId="77777777" w:rsidR="007653D0" w:rsidRPr="0016235B" w:rsidRDefault="007653D0" w:rsidP="007653D0">
            <w:pPr>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2. Had complete written guidelines on the reporting protocol for HMIS</w:t>
            </w:r>
          </w:p>
        </w:tc>
        <w:tc>
          <w:tcPr>
            <w:tcW w:w="1504" w:type="dxa"/>
            <w:tcBorders>
              <w:top w:val="nil"/>
              <w:left w:val="nil"/>
              <w:bottom w:val="single" w:sz="4" w:space="0" w:color="auto"/>
              <w:right w:val="single" w:sz="4" w:space="0" w:color="auto"/>
            </w:tcBorders>
            <w:shd w:val="clear" w:color="auto" w:fill="auto"/>
            <w:vAlign w:val="center"/>
            <w:hideMark/>
          </w:tcPr>
          <w:p w14:paraId="295A20B0" w14:textId="77777777" w:rsidR="007653D0" w:rsidRPr="0016235B" w:rsidRDefault="007653D0" w:rsidP="007653D0">
            <w:pPr>
              <w:ind w:firstLineChars="100" w:firstLine="241"/>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76 (52.4)</w:t>
            </w:r>
          </w:p>
        </w:tc>
      </w:tr>
      <w:tr w:rsidR="007653D0" w:rsidRPr="0016235B" w14:paraId="5244CE7E"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28A302BD" w14:textId="77777777" w:rsidR="007653D0" w:rsidRPr="0016235B" w:rsidRDefault="007653D0" w:rsidP="007653D0">
            <w:pPr>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3. Experienced stockout of tally sheets, registers or reporting forms in last six months</w:t>
            </w:r>
          </w:p>
        </w:tc>
        <w:tc>
          <w:tcPr>
            <w:tcW w:w="1504" w:type="dxa"/>
            <w:tcBorders>
              <w:top w:val="nil"/>
              <w:left w:val="nil"/>
              <w:bottom w:val="single" w:sz="4" w:space="0" w:color="auto"/>
              <w:right w:val="single" w:sz="4" w:space="0" w:color="auto"/>
            </w:tcBorders>
            <w:shd w:val="clear" w:color="auto" w:fill="auto"/>
            <w:vAlign w:val="center"/>
            <w:hideMark/>
          </w:tcPr>
          <w:p w14:paraId="10ACDA71" w14:textId="77777777" w:rsidR="007653D0" w:rsidRPr="0016235B" w:rsidRDefault="007653D0" w:rsidP="007653D0">
            <w:pPr>
              <w:ind w:firstLineChars="100" w:firstLine="241"/>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94 (64.8)</w:t>
            </w:r>
          </w:p>
        </w:tc>
      </w:tr>
      <w:tr w:rsidR="007653D0" w:rsidRPr="0016235B" w14:paraId="6D5331FA"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5A5A5" w:themeFill="accent3"/>
            <w:vAlign w:val="center"/>
            <w:hideMark/>
          </w:tcPr>
          <w:p w14:paraId="34B2AB20" w14:textId="77777777" w:rsidR="007653D0" w:rsidRPr="0016235B" w:rsidRDefault="007653D0" w:rsidP="007653D0">
            <w:pPr>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4. Data quality and supervision:</w:t>
            </w:r>
          </w:p>
        </w:tc>
        <w:tc>
          <w:tcPr>
            <w:tcW w:w="1504" w:type="dxa"/>
            <w:tcBorders>
              <w:top w:val="nil"/>
              <w:left w:val="nil"/>
              <w:bottom w:val="single" w:sz="4" w:space="0" w:color="auto"/>
              <w:right w:val="single" w:sz="4" w:space="0" w:color="auto"/>
            </w:tcBorders>
            <w:shd w:val="clear" w:color="auto" w:fill="A5A5A5" w:themeFill="accent3"/>
            <w:vAlign w:val="center"/>
            <w:hideMark/>
          </w:tcPr>
          <w:p w14:paraId="455BC9A2" w14:textId="77777777" w:rsidR="007653D0" w:rsidRPr="0016235B" w:rsidRDefault="007653D0" w:rsidP="007653D0">
            <w:pPr>
              <w:ind w:firstLineChars="100" w:firstLine="241"/>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56 (36.8)</w:t>
            </w:r>
          </w:p>
        </w:tc>
      </w:tr>
      <w:tr w:rsidR="007653D0" w:rsidRPr="0016235B" w14:paraId="680B610D"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2BB133C4"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Staff conducting data review and quality control appropriately trained</w:t>
            </w:r>
          </w:p>
        </w:tc>
        <w:tc>
          <w:tcPr>
            <w:tcW w:w="1504" w:type="dxa"/>
            <w:tcBorders>
              <w:top w:val="nil"/>
              <w:left w:val="nil"/>
              <w:bottom w:val="single" w:sz="4" w:space="0" w:color="auto"/>
              <w:right w:val="single" w:sz="4" w:space="0" w:color="auto"/>
            </w:tcBorders>
            <w:shd w:val="clear" w:color="auto" w:fill="auto"/>
            <w:vAlign w:val="center"/>
            <w:hideMark/>
          </w:tcPr>
          <w:p w14:paraId="481BA811"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72 (49.7) </w:t>
            </w:r>
          </w:p>
        </w:tc>
      </w:tr>
      <w:tr w:rsidR="007653D0" w:rsidRPr="0016235B" w14:paraId="6F134E99"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17971780"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Received regular supervisory visits from a higher level</w:t>
            </w:r>
          </w:p>
        </w:tc>
        <w:tc>
          <w:tcPr>
            <w:tcW w:w="1504" w:type="dxa"/>
            <w:tcBorders>
              <w:top w:val="nil"/>
              <w:left w:val="nil"/>
              <w:bottom w:val="single" w:sz="4" w:space="0" w:color="auto"/>
              <w:right w:val="single" w:sz="4" w:space="0" w:color="auto"/>
            </w:tcBorders>
            <w:shd w:val="clear" w:color="auto" w:fill="auto"/>
            <w:vAlign w:val="center"/>
            <w:hideMark/>
          </w:tcPr>
          <w:p w14:paraId="1A6D52EF"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128 (88.3)</w:t>
            </w:r>
          </w:p>
        </w:tc>
      </w:tr>
      <w:tr w:rsidR="007653D0" w:rsidRPr="0016235B" w14:paraId="4967EBA8"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52BB3120"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Had a documented evidence of supervisory visit in past 6 months</w:t>
            </w:r>
          </w:p>
        </w:tc>
        <w:tc>
          <w:tcPr>
            <w:tcW w:w="1504" w:type="dxa"/>
            <w:tcBorders>
              <w:top w:val="nil"/>
              <w:left w:val="nil"/>
              <w:bottom w:val="single" w:sz="4" w:space="0" w:color="auto"/>
              <w:right w:val="single" w:sz="4" w:space="0" w:color="auto"/>
            </w:tcBorders>
            <w:shd w:val="clear" w:color="auto" w:fill="auto"/>
            <w:vAlign w:val="center"/>
            <w:hideMark/>
          </w:tcPr>
          <w:p w14:paraId="7258880A"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86 (67.2)</w:t>
            </w:r>
          </w:p>
        </w:tc>
      </w:tr>
      <w:tr w:rsidR="007653D0" w:rsidRPr="0016235B" w14:paraId="1476C0E8"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5A5A5" w:themeFill="accent3"/>
            <w:vAlign w:val="center"/>
            <w:hideMark/>
          </w:tcPr>
          <w:p w14:paraId="32C867F8" w14:textId="77777777" w:rsidR="007653D0" w:rsidRPr="0016235B" w:rsidRDefault="007653D0" w:rsidP="007653D0">
            <w:pPr>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 xml:space="preserve">5. Data use for planning and management </w:t>
            </w:r>
          </w:p>
        </w:tc>
        <w:tc>
          <w:tcPr>
            <w:tcW w:w="1504" w:type="dxa"/>
            <w:tcBorders>
              <w:top w:val="nil"/>
              <w:left w:val="nil"/>
              <w:bottom w:val="single" w:sz="4" w:space="0" w:color="auto"/>
              <w:right w:val="single" w:sz="4" w:space="0" w:color="auto"/>
            </w:tcBorders>
            <w:shd w:val="clear" w:color="auto" w:fill="A5A5A5" w:themeFill="accent3"/>
            <w:vAlign w:val="center"/>
            <w:hideMark/>
          </w:tcPr>
          <w:p w14:paraId="4D496A10" w14:textId="77777777" w:rsidR="007653D0" w:rsidRPr="0016235B" w:rsidRDefault="007653D0" w:rsidP="007653D0">
            <w:pPr>
              <w:ind w:firstLineChars="100" w:firstLine="241"/>
              <w:jc w:val="both"/>
              <w:rPr>
                <w:rFonts w:ascii="Candara" w:eastAsia="Times New Roman" w:hAnsi="Candara"/>
                <w:b/>
                <w:bCs/>
                <w:sz w:val="24"/>
                <w:szCs w:val="24"/>
                <w:lang w:eastAsia="en-ZA"/>
              </w:rPr>
            </w:pPr>
            <w:r w:rsidRPr="0016235B">
              <w:rPr>
                <w:rFonts w:ascii="Candara" w:eastAsia="Times New Roman" w:hAnsi="Candara"/>
                <w:b/>
                <w:bCs/>
                <w:sz w:val="24"/>
                <w:szCs w:val="24"/>
                <w:lang w:eastAsia="en-ZA"/>
              </w:rPr>
              <w:t> 88 (57.9)</w:t>
            </w:r>
          </w:p>
        </w:tc>
      </w:tr>
      <w:tr w:rsidR="007653D0" w:rsidRPr="0016235B" w14:paraId="537359D5"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2AD336A2" w14:textId="77777777" w:rsidR="007653D0" w:rsidRPr="0016235B" w:rsidRDefault="007653D0" w:rsidP="007653D0">
            <w:pPr>
              <w:jc w:val="both"/>
              <w:rPr>
                <w:rFonts w:ascii="Candara" w:eastAsia="Times New Roman" w:hAnsi="Candara"/>
                <w:sz w:val="24"/>
                <w:szCs w:val="24"/>
                <w:lang w:eastAsia="en-ZA"/>
              </w:rPr>
            </w:pPr>
            <w:r w:rsidRPr="0016235B">
              <w:rPr>
                <w:rFonts w:ascii="Candara" w:eastAsia="Times New Roman" w:hAnsi="Candara"/>
                <w:sz w:val="24"/>
                <w:szCs w:val="24"/>
                <w:lang w:eastAsia="en-ZA"/>
              </w:rPr>
              <w:t>Prepares data visuals showing achievements towards targets</w:t>
            </w:r>
          </w:p>
        </w:tc>
        <w:tc>
          <w:tcPr>
            <w:tcW w:w="1504" w:type="dxa"/>
            <w:tcBorders>
              <w:top w:val="nil"/>
              <w:left w:val="nil"/>
              <w:bottom w:val="single" w:sz="4" w:space="0" w:color="auto"/>
              <w:right w:val="single" w:sz="4" w:space="0" w:color="auto"/>
            </w:tcBorders>
            <w:shd w:val="clear" w:color="auto" w:fill="auto"/>
            <w:vAlign w:val="center"/>
            <w:hideMark/>
          </w:tcPr>
          <w:p w14:paraId="03E3C118"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104 (71.7)</w:t>
            </w:r>
          </w:p>
        </w:tc>
      </w:tr>
      <w:tr w:rsidR="007653D0" w:rsidRPr="0016235B" w14:paraId="09B72003"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0B4A2F5A"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Use HMIS data for performance reviews</w:t>
            </w:r>
          </w:p>
        </w:tc>
        <w:tc>
          <w:tcPr>
            <w:tcW w:w="1504" w:type="dxa"/>
            <w:tcBorders>
              <w:top w:val="nil"/>
              <w:left w:val="nil"/>
              <w:bottom w:val="single" w:sz="4" w:space="0" w:color="auto"/>
              <w:right w:val="single" w:sz="4" w:space="0" w:color="auto"/>
            </w:tcBorders>
            <w:shd w:val="clear" w:color="auto" w:fill="auto"/>
            <w:vAlign w:val="center"/>
            <w:hideMark/>
          </w:tcPr>
          <w:p w14:paraId="3807438C"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114 (78.6)</w:t>
            </w:r>
          </w:p>
        </w:tc>
      </w:tr>
      <w:tr w:rsidR="007653D0" w:rsidRPr="0016235B" w14:paraId="06ED0E78" w14:textId="77777777" w:rsidTr="007653D0">
        <w:trPr>
          <w:trHeight w:val="312"/>
        </w:trPr>
        <w:tc>
          <w:tcPr>
            <w:tcW w:w="7143" w:type="dxa"/>
            <w:tcBorders>
              <w:top w:val="nil"/>
              <w:left w:val="single" w:sz="4" w:space="0" w:color="auto"/>
              <w:bottom w:val="single" w:sz="4" w:space="0" w:color="auto"/>
              <w:right w:val="single" w:sz="4" w:space="0" w:color="auto"/>
            </w:tcBorders>
            <w:shd w:val="clear" w:color="auto" w:fill="auto"/>
            <w:vAlign w:val="center"/>
            <w:hideMark/>
          </w:tcPr>
          <w:p w14:paraId="5153D7E0" w14:textId="77777777" w:rsidR="007653D0" w:rsidRPr="0016235B" w:rsidRDefault="007653D0" w:rsidP="007653D0">
            <w:pPr>
              <w:contextualSpacing/>
              <w:jc w:val="both"/>
              <w:rPr>
                <w:rFonts w:ascii="Candara" w:eastAsia="Times New Roman" w:hAnsi="Candara"/>
                <w:sz w:val="24"/>
                <w:szCs w:val="24"/>
                <w:lang w:eastAsia="en-ZA"/>
              </w:rPr>
            </w:pPr>
            <w:r w:rsidRPr="0016235B">
              <w:rPr>
                <w:rFonts w:ascii="Candara" w:eastAsia="Times New Roman" w:hAnsi="Candara"/>
                <w:sz w:val="24"/>
                <w:szCs w:val="24"/>
                <w:lang w:eastAsia="en-ZA"/>
              </w:rPr>
              <w:t>Use HMIS data for planning</w:t>
            </w:r>
          </w:p>
        </w:tc>
        <w:tc>
          <w:tcPr>
            <w:tcW w:w="1504" w:type="dxa"/>
            <w:tcBorders>
              <w:top w:val="nil"/>
              <w:left w:val="nil"/>
              <w:bottom w:val="single" w:sz="4" w:space="0" w:color="auto"/>
              <w:right w:val="single" w:sz="4" w:space="0" w:color="auto"/>
            </w:tcBorders>
            <w:shd w:val="clear" w:color="auto" w:fill="auto"/>
            <w:vAlign w:val="center"/>
            <w:hideMark/>
          </w:tcPr>
          <w:p w14:paraId="188D7C7A" w14:textId="77777777" w:rsidR="007653D0" w:rsidRPr="0016235B" w:rsidRDefault="007653D0" w:rsidP="007653D0">
            <w:pPr>
              <w:ind w:firstLineChars="100" w:firstLine="240"/>
              <w:jc w:val="both"/>
              <w:rPr>
                <w:rFonts w:ascii="Candara" w:eastAsia="Times New Roman" w:hAnsi="Candara"/>
                <w:sz w:val="24"/>
                <w:szCs w:val="24"/>
                <w:lang w:eastAsia="en-ZA"/>
              </w:rPr>
            </w:pPr>
            <w:r w:rsidRPr="0016235B">
              <w:rPr>
                <w:rFonts w:ascii="Candara" w:eastAsia="Times New Roman" w:hAnsi="Candara"/>
                <w:sz w:val="24"/>
                <w:szCs w:val="24"/>
                <w:lang w:eastAsia="en-ZA"/>
              </w:rPr>
              <w:t>120 (82.8)</w:t>
            </w:r>
          </w:p>
        </w:tc>
      </w:tr>
    </w:tbl>
    <w:p w14:paraId="4F50C345" w14:textId="77777777" w:rsidR="007653D0" w:rsidRPr="0016235B" w:rsidRDefault="007653D0" w:rsidP="007653D0">
      <w:pPr>
        <w:jc w:val="both"/>
        <w:rPr>
          <w:rFonts w:ascii="Candara" w:hAnsi="Candara"/>
          <w:sz w:val="24"/>
          <w:szCs w:val="24"/>
        </w:rPr>
      </w:pPr>
    </w:p>
    <w:p w14:paraId="68601850" w14:textId="77777777" w:rsidR="007653D0" w:rsidRPr="0016235B" w:rsidRDefault="007653D0" w:rsidP="007653D0">
      <w:pPr>
        <w:jc w:val="both"/>
        <w:rPr>
          <w:rFonts w:ascii="Candara" w:hAnsi="Candara"/>
          <w:sz w:val="24"/>
          <w:szCs w:val="24"/>
        </w:rPr>
      </w:pPr>
    </w:p>
    <w:p w14:paraId="3A95C24F" w14:textId="26FDD4BC" w:rsidR="001321C2" w:rsidRPr="0016235B" w:rsidRDefault="001321C2">
      <w:pPr>
        <w:rPr>
          <w:rFonts w:ascii="Candara" w:hAnsi="Candara"/>
        </w:rPr>
      </w:pPr>
      <w:r w:rsidRPr="0016235B">
        <w:rPr>
          <w:rFonts w:ascii="Candara" w:hAnsi="Candara"/>
        </w:rPr>
        <w:br w:type="page"/>
      </w:r>
    </w:p>
    <w:p w14:paraId="6F9AAB36" w14:textId="77777777" w:rsidR="001321C2" w:rsidRPr="0016235B" w:rsidRDefault="001321C2" w:rsidP="00815396">
      <w:pPr>
        <w:tabs>
          <w:tab w:val="left" w:pos="8400"/>
        </w:tabs>
        <w:rPr>
          <w:rFonts w:ascii="Candara" w:hAnsi="Candara"/>
          <w:sz w:val="24"/>
          <w:szCs w:val="24"/>
        </w:rPr>
      </w:pPr>
    </w:p>
    <w:p w14:paraId="4A3A13B8" w14:textId="5734E9CC" w:rsidR="007C714F" w:rsidRPr="0016235B" w:rsidRDefault="007C714F">
      <w:pPr>
        <w:rPr>
          <w:rFonts w:ascii="Candara" w:hAnsi="Candara"/>
        </w:rPr>
      </w:pPr>
    </w:p>
    <w:p w14:paraId="4B690BF3" w14:textId="77777777" w:rsidR="00D2350C" w:rsidRPr="0016235B" w:rsidRDefault="00D2350C">
      <w:pPr>
        <w:rPr>
          <w:rFonts w:ascii="Candara" w:eastAsiaTheme="majorEastAsia" w:hAnsi="Candara" w:cstheme="majorBidi"/>
          <w:b/>
          <w:color w:val="2F5496" w:themeColor="accent1" w:themeShade="BF"/>
          <w:sz w:val="28"/>
          <w:szCs w:val="28"/>
        </w:rPr>
      </w:pPr>
      <w:r w:rsidRPr="0016235B">
        <w:rPr>
          <w:rFonts w:ascii="Candara" w:hAnsi="Candara"/>
          <w:b/>
          <w:sz w:val="28"/>
          <w:szCs w:val="28"/>
        </w:rPr>
        <w:br w:type="page"/>
      </w:r>
    </w:p>
    <w:p w14:paraId="322CDFCB" w14:textId="4C94A549" w:rsidR="00765F2B" w:rsidRPr="0016235B" w:rsidRDefault="007C714F" w:rsidP="005722F2">
      <w:pPr>
        <w:pStyle w:val="Heading1"/>
        <w:numPr>
          <w:ilvl w:val="0"/>
          <w:numId w:val="25"/>
        </w:numPr>
        <w:rPr>
          <w:rFonts w:ascii="Candara" w:hAnsi="Candara"/>
          <w:b/>
          <w:sz w:val="28"/>
          <w:szCs w:val="28"/>
        </w:rPr>
      </w:pPr>
      <w:bookmarkStart w:id="68" w:name="_Toc11494073"/>
      <w:r w:rsidRPr="0016235B">
        <w:rPr>
          <w:rFonts w:ascii="Candara" w:hAnsi="Candara"/>
          <w:b/>
          <w:sz w:val="28"/>
          <w:szCs w:val="28"/>
        </w:rPr>
        <w:t>C</w:t>
      </w:r>
      <w:r w:rsidR="00D2350C" w:rsidRPr="0016235B">
        <w:rPr>
          <w:rFonts w:ascii="Candara" w:hAnsi="Candara"/>
          <w:b/>
          <w:sz w:val="28"/>
          <w:szCs w:val="28"/>
        </w:rPr>
        <w:t>ONCLUSION</w:t>
      </w:r>
      <w:r w:rsidRPr="0016235B">
        <w:rPr>
          <w:rFonts w:ascii="Candara" w:hAnsi="Candara"/>
          <w:b/>
          <w:sz w:val="28"/>
          <w:szCs w:val="28"/>
        </w:rPr>
        <w:t>/R</w:t>
      </w:r>
      <w:r w:rsidR="00D2350C" w:rsidRPr="0016235B">
        <w:rPr>
          <w:rFonts w:ascii="Candara" w:hAnsi="Candara"/>
          <w:b/>
          <w:sz w:val="28"/>
          <w:szCs w:val="28"/>
        </w:rPr>
        <w:t>ECOMMENDATIONS</w:t>
      </w:r>
      <w:bookmarkEnd w:id="68"/>
    </w:p>
    <w:p w14:paraId="3FB875FB" w14:textId="77777777" w:rsidR="001321C2" w:rsidRPr="0016235B" w:rsidRDefault="001321C2" w:rsidP="00815396">
      <w:pPr>
        <w:tabs>
          <w:tab w:val="left" w:pos="8400"/>
        </w:tabs>
        <w:rPr>
          <w:rFonts w:ascii="Candara" w:hAnsi="Candara"/>
          <w:sz w:val="24"/>
          <w:szCs w:val="24"/>
        </w:rPr>
      </w:pPr>
    </w:p>
    <w:p w14:paraId="7EB50771" w14:textId="77777777" w:rsidR="006D5C61" w:rsidRPr="0016235B" w:rsidRDefault="006D5C61" w:rsidP="006D5C61">
      <w:pPr>
        <w:rPr>
          <w:rFonts w:ascii="Candara" w:hAnsi="Candara"/>
        </w:rPr>
      </w:pPr>
    </w:p>
    <w:p w14:paraId="01EB84D2" w14:textId="77777777" w:rsidR="006D5C61" w:rsidRPr="0016235B" w:rsidRDefault="006D5C61" w:rsidP="006D5C61">
      <w:pPr>
        <w:rPr>
          <w:rFonts w:ascii="Candara" w:hAnsi="Candara"/>
          <w:sz w:val="24"/>
          <w:szCs w:val="24"/>
        </w:rPr>
      </w:pPr>
      <w:r w:rsidRPr="0016235B">
        <w:rPr>
          <w:rFonts w:ascii="Candara" w:hAnsi="Candara"/>
          <w:sz w:val="24"/>
          <w:szCs w:val="24"/>
        </w:rPr>
        <w:t>•</w:t>
      </w:r>
      <w:r w:rsidRPr="0016235B">
        <w:rPr>
          <w:rFonts w:ascii="Candara" w:hAnsi="Candara"/>
          <w:sz w:val="24"/>
          <w:szCs w:val="24"/>
        </w:rPr>
        <w:tab/>
        <w:t>Strengthening the process of supply chain management for commodities and medicines</w:t>
      </w:r>
    </w:p>
    <w:p w14:paraId="43532F0D" w14:textId="77777777" w:rsidR="006D5C61" w:rsidRPr="0016235B" w:rsidRDefault="006D5C61" w:rsidP="006D5C61">
      <w:pPr>
        <w:rPr>
          <w:rFonts w:ascii="Candara" w:hAnsi="Candara"/>
          <w:sz w:val="24"/>
          <w:szCs w:val="24"/>
        </w:rPr>
      </w:pPr>
      <w:r w:rsidRPr="0016235B">
        <w:rPr>
          <w:rFonts w:ascii="Candara" w:hAnsi="Candara"/>
          <w:sz w:val="24"/>
          <w:szCs w:val="24"/>
        </w:rPr>
        <w:t>•</w:t>
      </w:r>
      <w:r w:rsidRPr="0016235B">
        <w:rPr>
          <w:rFonts w:ascii="Candara" w:hAnsi="Candara"/>
          <w:sz w:val="24"/>
          <w:szCs w:val="24"/>
        </w:rPr>
        <w:tab/>
        <w:t>There is need for improvement of diagnostic capacity in health facilities at all service delivery levels.</w:t>
      </w:r>
    </w:p>
    <w:p w14:paraId="6940D97E" w14:textId="77777777" w:rsidR="006D5C61" w:rsidRPr="0016235B" w:rsidRDefault="006D5C61" w:rsidP="006D5C61">
      <w:pPr>
        <w:rPr>
          <w:rFonts w:ascii="Candara" w:hAnsi="Candara"/>
          <w:sz w:val="24"/>
          <w:szCs w:val="24"/>
        </w:rPr>
      </w:pPr>
      <w:r w:rsidRPr="0016235B">
        <w:rPr>
          <w:rFonts w:ascii="Candara" w:hAnsi="Candara"/>
          <w:sz w:val="24"/>
          <w:szCs w:val="24"/>
        </w:rPr>
        <w:t>•</w:t>
      </w:r>
      <w:r w:rsidRPr="0016235B">
        <w:rPr>
          <w:rFonts w:ascii="Candara" w:hAnsi="Candara"/>
          <w:sz w:val="24"/>
          <w:szCs w:val="24"/>
        </w:rPr>
        <w:tab/>
        <w:t>There was average level of readiness which requires further review and improvement</w:t>
      </w:r>
    </w:p>
    <w:p w14:paraId="77E4AA76" w14:textId="31EBF0F4" w:rsidR="006D5C61" w:rsidRPr="0016235B" w:rsidRDefault="006D5C61" w:rsidP="006D5C61">
      <w:pPr>
        <w:rPr>
          <w:rFonts w:ascii="Candara" w:hAnsi="Candara"/>
          <w:sz w:val="24"/>
          <w:szCs w:val="24"/>
        </w:rPr>
      </w:pPr>
      <w:r w:rsidRPr="0016235B">
        <w:rPr>
          <w:rFonts w:ascii="Candara" w:hAnsi="Candara"/>
          <w:sz w:val="24"/>
          <w:szCs w:val="24"/>
        </w:rPr>
        <w:t>•</w:t>
      </w:r>
      <w:r w:rsidRPr="0016235B">
        <w:rPr>
          <w:rFonts w:ascii="Candara" w:hAnsi="Candara"/>
          <w:sz w:val="24"/>
          <w:szCs w:val="24"/>
        </w:rPr>
        <w:tab/>
        <w:t>There was a below average availability of basic equipment there is a need therefore to review and strengthen the supply chain</w:t>
      </w:r>
    </w:p>
    <w:p w14:paraId="1A6C5C18" w14:textId="4310E9C3" w:rsidR="006D5C61" w:rsidRPr="0016235B" w:rsidRDefault="006D5C61" w:rsidP="006D5C61">
      <w:pPr>
        <w:rPr>
          <w:rFonts w:ascii="Candara" w:hAnsi="Candara"/>
          <w:sz w:val="24"/>
          <w:szCs w:val="24"/>
        </w:rPr>
      </w:pPr>
      <w:r w:rsidRPr="0016235B">
        <w:rPr>
          <w:rFonts w:ascii="Candara" w:hAnsi="Candara"/>
          <w:sz w:val="24"/>
          <w:szCs w:val="24"/>
        </w:rPr>
        <w:tab/>
      </w:r>
    </w:p>
    <w:p w14:paraId="4A15B57F" w14:textId="77777777" w:rsidR="006D5C61" w:rsidRPr="0016235B" w:rsidRDefault="006D5C61" w:rsidP="006D5C61">
      <w:pPr>
        <w:rPr>
          <w:rFonts w:ascii="Candara" w:hAnsi="Candara"/>
          <w:sz w:val="24"/>
          <w:szCs w:val="24"/>
        </w:rPr>
      </w:pPr>
    </w:p>
    <w:p w14:paraId="3DE0AC7E" w14:textId="77777777" w:rsidR="006D5C61" w:rsidRPr="0016235B" w:rsidRDefault="006D5C61" w:rsidP="006D5C61">
      <w:pPr>
        <w:rPr>
          <w:rFonts w:ascii="Candara" w:hAnsi="Candara"/>
          <w:sz w:val="24"/>
          <w:szCs w:val="24"/>
        </w:rPr>
      </w:pPr>
    </w:p>
    <w:p w14:paraId="72FB9D46" w14:textId="77777777" w:rsidR="006D5C61" w:rsidRPr="0016235B" w:rsidRDefault="006D5C61" w:rsidP="006D5C61">
      <w:pPr>
        <w:rPr>
          <w:rFonts w:ascii="Candara" w:hAnsi="Candara"/>
          <w:sz w:val="24"/>
          <w:szCs w:val="24"/>
        </w:rPr>
      </w:pPr>
    </w:p>
    <w:p w14:paraId="453B26FA" w14:textId="77777777" w:rsidR="006D5C61" w:rsidRPr="0016235B" w:rsidRDefault="006D5C61">
      <w:pPr>
        <w:rPr>
          <w:rFonts w:ascii="Candara" w:eastAsiaTheme="majorEastAsia" w:hAnsi="Candara" w:cstheme="majorBidi"/>
          <w:b/>
          <w:color w:val="2F5496" w:themeColor="accent1" w:themeShade="BF"/>
          <w:sz w:val="28"/>
          <w:szCs w:val="28"/>
        </w:rPr>
      </w:pPr>
      <w:r w:rsidRPr="0016235B">
        <w:rPr>
          <w:rFonts w:ascii="Candara" w:hAnsi="Candara"/>
          <w:b/>
          <w:sz w:val="28"/>
          <w:szCs w:val="28"/>
        </w:rPr>
        <w:br w:type="page"/>
      </w:r>
    </w:p>
    <w:p w14:paraId="5E7E87F1" w14:textId="77777777" w:rsidR="007C714F" w:rsidRPr="0016235B" w:rsidRDefault="007C714F">
      <w:pPr>
        <w:rPr>
          <w:rFonts w:ascii="Candara" w:hAnsi="Candara"/>
        </w:rPr>
      </w:pPr>
      <w:r w:rsidRPr="0016235B">
        <w:rPr>
          <w:rFonts w:ascii="Candara" w:hAnsi="Candara"/>
        </w:rPr>
        <w:br w:type="page"/>
      </w:r>
    </w:p>
    <w:p w14:paraId="49F578E8" w14:textId="27A11717" w:rsidR="007C714F" w:rsidRPr="0016235B" w:rsidRDefault="007C714F" w:rsidP="005722F2">
      <w:pPr>
        <w:pStyle w:val="Heading1"/>
        <w:numPr>
          <w:ilvl w:val="0"/>
          <w:numId w:val="25"/>
        </w:numPr>
        <w:rPr>
          <w:rFonts w:ascii="Candara" w:hAnsi="Candara"/>
          <w:b/>
          <w:sz w:val="28"/>
          <w:szCs w:val="28"/>
        </w:rPr>
      </w:pPr>
      <w:bookmarkStart w:id="69" w:name="_Toc11494074"/>
      <w:r w:rsidRPr="0016235B">
        <w:rPr>
          <w:rFonts w:ascii="Candara" w:hAnsi="Candara"/>
          <w:b/>
          <w:sz w:val="28"/>
          <w:szCs w:val="28"/>
        </w:rPr>
        <w:t>A</w:t>
      </w:r>
      <w:r w:rsidR="00D2350C" w:rsidRPr="0016235B">
        <w:rPr>
          <w:rFonts w:ascii="Candara" w:hAnsi="Candara"/>
          <w:b/>
          <w:sz w:val="28"/>
          <w:szCs w:val="28"/>
        </w:rPr>
        <w:t>NNEX</w:t>
      </w:r>
      <w:bookmarkEnd w:id="69"/>
    </w:p>
    <w:p w14:paraId="44A621F3" w14:textId="77777777" w:rsidR="001321C2" w:rsidRPr="0016235B" w:rsidRDefault="001321C2" w:rsidP="00815396">
      <w:pPr>
        <w:tabs>
          <w:tab w:val="left" w:pos="8400"/>
        </w:tabs>
        <w:rPr>
          <w:rFonts w:ascii="Candara" w:hAnsi="Candara"/>
          <w:sz w:val="24"/>
          <w:szCs w:val="24"/>
        </w:rPr>
      </w:pPr>
    </w:p>
    <w:p w14:paraId="2EA449B8" w14:textId="4675A9DE" w:rsidR="00442CC1" w:rsidRPr="0016235B" w:rsidRDefault="00442CC1" w:rsidP="005722F2">
      <w:pPr>
        <w:pStyle w:val="Heading2"/>
        <w:numPr>
          <w:ilvl w:val="1"/>
          <w:numId w:val="25"/>
        </w:numPr>
        <w:rPr>
          <w:rFonts w:ascii="Candara" w:hAnsi="Candara"/>
          <w:b/>
          <w:sz w:val="28"/>
          <w:szCs w:val="28"/>
        </w:rPr>
      </w:pPr>
      <w:bookmarkStart w:id="70" w:name="_Toc11494075"/>
      <w:r w:rsidRPr="0016235B">
        <w:rPr>
          <w:rFonts w:ascii="Candara" w:hAnsi="Candara"/>
          <w:b/>
          <w:sz w:val="28"/>
          <w:szCs w:val="28"/>
        </w:rPr>
        <w:t xml:space="preserve">Distribution of health facilities assessed by key </w:t>
      </w:r>
      <w:proofErr w:type="spellStart"/>
      <w:r w:rsidRPr="0016235B">
        <w:rPr>
          <w:rFonts w:ascii="Candara" w:hAnsi="Candara"/>
          <w:b/>
          <w:sz w:val="28"/>
          <w:szCs w:val="28"/>
        </w:rPr>
        <w:t>stratifiers</w:t>
      </w:r>
      <w:bookmarkEnd w:id="70"/>
      <w:proofErr w:type="spellEnd"/>
    </w:p>
    <w:tbl>
      <w:tblPr>
        <w:tblW w:w="9805" w:type="dxa"/>
        <w:tblLook w:val="04A0" w:firstRow="1" w:lastRow="0" w:firstColumn="1" w:lastColumn="0" w:noHBand="0" w:noVBand="1"/>
      </w:tblPr>
      <w:tblGrid>
        <w:gridCol w:w="2327"/>
        <w:gridCol w:w="1448"/>
        <w:gridCol w:w="1440"/>
        <w:gridCol w:w="1530"/>
        <w:gridCol w:w="1530"/>
        <w:gridCol w:w="1530"/>
      </w:tblGrid>
      <w:tr w:rsidR="00442CC1" w:rsidRPr="0016235B" w14:paraId="0452EF61" w14:textId="77777777" w:rsidTr="00442CC1">
        <w:trPr>
          <w:trHeight w:val="565"/>
        </w:trPr>
        <w:tc>
          <w:tcPr>
            <w:tcW w:w="23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E9F7FE" w14:textId="77777777" w:rsidR="00442CC1" w:rsidRPr="0016235B" w:rsidRDefault="00442CC1" w:rsidP="00442CC1">
            <w:pPr>
              <w:spacing w:after="0" w:line="240" w:lineRule="auto"/>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 </w:t>
            </w:r>
          </w:p>
        </w:tc>
        <w:tc>
          <w:tcPr>
            <w:tcW w:w="1448" w:type="dxa"/>
            <w:tcBorders>
              <w:top w:val="single" w:sz="4" w:space="0" w:color="auto"/>
              <w:left w:val="nil"/>
              <w:bottom w:val="single" w:sz="4" w:space="0" w:color="auto"/>
              <w:right w:val="single" w:sz="4" w:space="0" w:color="auto"/>
            </w:tcBorders>
            <w:shd w:val="clear" w:color="auto" w:fill="auto"/>
            <w:vAlign w:val="bottom"/>
            <w:hideMark/>
          </w:tcPr>
          <w:p w14:paraId="67DBA7CF" w14:textId="77777777" w:rsidR="00442CC1" w:rsidRPr="0016235B" w:rsidRDefault="00442CC1" w:rsidP="00442CC1">
            <w:pPr>
              <w:spacing w:after="0" w:line="240" w:lineRule="auto"/>
              <w:jc w:val="center"/>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Regional hospital</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70C1968C" w14:textId="77777777" w:rsidR="00442CC1" w:rsidRPr="0016235B" w:rsidRDefault="00442CC1" w:rsidP="00442CC1">
            <w:pPr>
              <w:spacing w:after="0" w:line="240" w:lineRule="auto"/>
              <w:jc w:val="center"/>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General hospital</w:t>
            </w:r>
          </w:p>
        </w:tc>
        <w:tc>
          <w:tcPr>
            <w:tcW w:w="1530" w:type="dxa"/>
            <w:tcBorders>
              <w:top w:val="single" w:sz="4" w:space="0" w:color="auto"/>
              <w:left w:val="nil"/>
              <w:bottom w:val="single" w:sz="4" w:space="0" w:color="auto"/>
              <w:right w:val="single" w:sz="4" w:space="0" w:color="auto"/>
            </w:tcBorders>
            <w:shd w:val="clear" w:color="auto" w:fill="auto"/>
            <w:vAlign w:val="bottom"/>
            <w:hideMark/>
          </w:tcPr>
          <w:p w14:paraId="4DB97DB5" w14:textId="77777777" w:rsidR="00442CC1" w:rsidRPr="0016235B" w:rsidRDefault="00442CC1" w:rsidP="00442CC1">
            <w:pPr>
              <w:spacing w:after="0" w:line="240" w:lineRule="auto"/>
              <w:jc w:val="center"/>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HC IV</w:t>
            </w:r>
          </w:p>
        </w:tc>
        <w:tc>
          <w:tcPr>
            <w:tcW w:w="1530" w:type="dxa"/>
            <w:tcBorders>
              <w:top w:val="single" w:sz="4" w:space="0" w:color="auto"/>
              <w:left w:val="nil"/>
              <w:bottom w:val="single" w:sz="4" w:space="0" w:color="auto"/>
              <w:right w:val="single" w:sz="4" w:space="0" w:color="auto"/>
            </w:tcBorders>
            <w:shd w:val="clear" w:color="auto" w:fill="auto"/>
            <w:vAlign w:val="bottom"/>
            <w:hideMark/>
          </w:tcPr>
          <w:p w14:paraId="6018648A" w14:textId="77777777" w:rsidR="00442CC1" w:rsidRPr="0016235B" w:rsidRDefault="00442CC1" w:rsidP="00442CC1">
            <w:pPr>
              <w:spacing w:after="0" w:line="240" w:lineRule="auto"/>
              <w:jc w:val="center"/>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HC III</w:t>
            </w:r>
          </w:p>
        </w:tc>
        <w:tc>
          <w:tcPr>
            <w:tcW w:w="1530" w:type="dxa"/>
            <w:tcBorders>
              <w:top w:val="single" w:sz="4" w:space="0" w:color="auto"/>
              <w:left w:val="nil"/>
              <w:bottom w:val="single" w:sz="4" w:space="0" w:color="auto"/>
              <w:right w:val="single" w:sz="4" w:space="0" w:color="auto"/>
            </w:tcBorders>
            <w:shd w:val="clear" w:color="auto" w:fill="auto"/>
            <w:vAlign w:val="bottom"/>
            <w:hideMark/>
          </w:tcPr>
          <w:p w14:paraId="22D5EF88" w14:textId="77777777" w:rsidR="00442CC1" w:rsidRPr="0016235B" w:rsidRDefault="00442CC1" w:rsidP="00442CC1">
            <w:pPr>
              <w:spacing w:after="0" w:line="240" w:lineRule="auto"/>
              <w:jc w:val="center"/>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HC II</w:t>
            </w:r>
          </w:p>
        </w:tc>
      </w:tr>
      <w:tr w:rsidR="00442CC1" w:rsidRPr="0016235B" w14:paraId="4958A4E7"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7CB60DD6"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8" w:type="dxa"/>
            <w:tcBorders>
              <w:top w:val="nil"/>
              <w:left w:val="nil"/>
              <w:bottom w:val="single" w:sz="4" w:space="0" w:color="auto"/>
              <w:right w:val="single" w:sz="4" w:space="0" w:color="auto"/>
            </w:tcBorders>
            <w:shd w:val="clear" w:color="auto" w:fill="auto"/>
            <w:noWrap/>
            <w:vAlign w:val="bottom"/>
            <w:hideMark/>
          </w:tcPr>
          <w:p w14:paraId="6F3DD462"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0" w:type="dxa"/>
            <w:tcBorders>
              <w:top w:val="nil"/>
              <w:left w:val="nil"/>
              <w:bottom w:val="single" w:sz="4" w:space="0" w:color="auto"/>
              <w:right w:val="single" w:sz="4" w:space="0" w:color="auto"/>
            </w:tcBorders>
            <w:shd w:val="clear" w:color="auto" w:fill="auto"/>
            <w:noWrap/>
            <w:vAlign w:val="bottom"/>
            <w:hideMark/>
          </w:tcPr>
          <w:p w14:paraId="3209A75E"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37668D0D"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743E05A2"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0A6B16DC"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r>
      <w:tr w:rsidR="00442CC1" w:rsidRPr="0016235B" w14:paraId="2BD00577"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68BB077C" w14:textId="77777777" w:rsidR="00442CC1" w:rsidRPr="0016235B" w:rsidRDefault="00442CC1" w:rsidP="00442CC1">
            <w:pPr>
              <w:spacing w:after="0" w:line="240" w:lineRule="auto"/>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Managing authority</w:t>
            </w:r>
          </w:p>
        </w:tc>
        <w:tc>
          <w:tcPr>
            <w:tcW w:w="1448" w:type="dxa"/>
            <w:tcBorders>
              <w:top w:val="nil"/>
              <w:left w:val="nil"/>
              <w:bottom w:val="single" w:sz="4" w:space="0" w:color="auto"/>
              <w:right w:val="single" w:sz="4" w:space="0" w:color="auto"/>
            </w:tcBorders>
            <w:shd w:val="clear" w:color="auto" w:fill="auto"/>
            <w:noWrap/>
            <w:vAlign w:val="bottom"/>
            <w:hideMark/>
          </w:tcPr>
          <w:p w14:paraId="6A1B0A85"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0" w:type="dxa"/>
            <w:tcBorders>
              <w:top w:val="nil"/>
              <w:left w:val="nil"/>
              <w:bottom w:val="single" w:sz="4" w:space="0" w:color="auto"/>
              <w:right w:val="single" w:sz="4" w:space="0" w:color="auto"/>
            </w:tcBorders>
            <w:shd w:val="clear" w:color="auto" w:fill="auto"/>
            <w:noWrap/>
            <w:vAlign w:val="bottom"/>
            <w:hideMark/>
          </w:tcPr>
          <w:p w14:paraId="2A6F6E6E"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0FEC2AD6"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7234020C"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503F69F0"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r>
      <w:tr w:rsidR="00442CC1" w:rsidRPr="0016235B" w14:paraId="164F1508"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666E6192"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Government/Public</w:t>
            </w:r>
          </w:p>
        </w:tc>
        <w:tc>
          <w:tcPr>
            <w:tcW w:w="1448" w:type="dxa"/>
            <w:tcBorders>
              <w:top w:val="nil"/>
              <w:left w:val="nil"/>
              <w:bottom w:val="single" w:sz="4" w:space="0" w:color="auto"/>
              <w:right w:val="single" w:sz="4" w:space="0" w:color="auto"/>
            </w:tcBorders>
            <w:shd w:val="clear" w:color="auto" w:fill="auto"/>
            <w:noWrap/>
            <w:vAlign w:val="bottom"/>
            <w:hideMark/>
          </w:tcPr>
          <w:p w14:paraId="33A218D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11 (11.8)</w:t>
            </w:r>
          </w:p>
        </w:tc>
        <w:tc>
          <w:tcPr>
            <w:tcW w:w="1440" w:type="dxa"/>
            <w:tcBorders>
              <w:top w:val="nil"/>
              <w:left w:val="nil"/>
              <w:bottom w:val="single" w:sz="4" w:space="0" w:color="auto"/>
              <w:right w:val="single" w:sz="4" w:space="0" w:color="auto"/>
            </w:tcBorders>
            <w:shd w:val="clear" w:color="auto" w:fill="auto"/>
            <w:noWrap/>
            <w:vAlign w:val="bottom"/>
            <w:hideMark/>
          </w:tcPr>
          <w:p w14:paraId="6CA00B8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7 (7.5)</w:t>
            </w:r>
          </w:p>
        </w:tc>
        <w:tc>
          <w:tcPr>
            <w:tcW w:w="1530" w:type="dxa"/>
            <w:tcBorders>
              <w:top w:val="nil"/>
              <w:left w:val="nil"/>
              <w:bottom w:val="single" w:sz="4" w:space="0" w:color="auto"/>
              <w:right w:val="single" w:sz="4" w:space="0" w:color="auto"/>
            </w:tcBorders>
            <w:shd w:val="clear" w:color="auto" w:fill="auto"/>
            <w:noWrap/>
            <w:vAlign w:val="bottom"/>
            <w:hideMark/>
          </w:tcPr>
          <w:p w14:paraId="52E6496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23 (24.7)</w:t>
            </w:r>
          </w:p>
        </w:tc>
        <w:tc>
          <w:tcPr>
            <w:tcW w:w="1530" w:type="dxa"/>
            <w:tcBorders>
              <w:top w:val="nil"/>
              <w:left w:val="nil"/>
              <w:bottom w:val="single" w:sz="4" w:space="0" w:color="auto"/>
              <w:right w:val="single" w:sz="4" w:space="0" w:color="auto"/>
            </w:tcBorders>
            <w:shd w:val="clear" w:color="auto" w:fill="auto"/>
            <w:noWrap/>
            <w:vAlign w:val="bottom"/>
            <w:hideMark/>
          </w:tcPr>
          <w:p w14:paraId="679BB44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28 (30.1)</w:t>
            </w:r>
          </w:p>
        </w:tc>
        <w:tc>
          <w:tcPr>
            <w:tcW w:w="1530" w:type="dxa"/>
            <w:tcBorders>
              <w:top w:val="nil"/>
              <w:left w:val="nil"/>
              <w:bottom w:val="single" w:sz="4" w:space="0" w:color="auto"/>
              <w:right w:val="single" w:sz="4" w:space="0" w:color="auto"/>
            </w:tcBorders>
            <w:shd w:val="clear" w:color="auto" w:fill="auto"/>
            <w:noWrap/>
            <w:vAlign w:val="bottom"/>
            <w:hideMark/>
          </w:tcPr>
          <w:p w14:paraId="5B603E9E"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24 (25.8)</w:t>
            </w:r>
          </w:p>
        </w:tc>
      </w:tr>
      <w:tr w:rsidR="00442CC1" w:rsidRPr="0016235B" w14:paraId="7C012DC7"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72E6A161" w14:textId="37EFC853"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Private-Not-For-Profit</w:t>
            </w:r>
          </w:p>
        </w:tc>
        <w:tc>
          <w:tcPr>
            <w:tcW w:w="1448" w:type="dxa"/>
            <w:tcBorders>
              <w:top w:val="nil"/>
              <w:left w:val="nil"/>
              <w:bottom w:val="single" w:sz="4" w:space="0" w:color="auto"/>
              <w:right w:val="single" w:sz="4" w:space="0" w:color="auto"/>
            </w:tcBorders>
            <w:shd w:val="clear" w:color="auto" w:fill="auto"/>
            <w:noWrap/>
            <w:vAlign w:val="bottom"/>
            <w:hideMark/>
          </w:tcPr>
          <w:p w14:paraId="14C9FF66"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0 (0)</w:t>
            </w:r>
          </w:p>
        </w:tc>
        <w:tc>
          <w:tcPr>
            <w:tcW w:w="1440" w:type="dxa"/>
            <w:tcBorders>
              <w:top w:val="nil"/>
              <w:left w:val="nil"/>
              <w:bottom w:val="single" w:sz="4" w:space="0" w:color="auto"/>
              <w:right w:val="single" w:sz="4" w:space="0" w:color="auto"/>
            </w:tcBorders>
            <w:shd w:val="clear" w:color="auto" w:fill="auto"/>
            <w:noWrap/>
            <w:vAlign w:val="bottom"/>
            <w:hideMark/>
          </w:tcPr>
          <w:p w14:paraId="2457BAF5"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7 (20.0)</w:t>
            </w:r>
          </w:p>
        </w:tc>
        <w:tc>
          <w:tcPr>
            <w:tcW w:w="1530" w:type="dxa"/>
            <w:tcBorders>
              <w:top w:val="nil"/>
              <w:left w:val="nil"/>
              <w:bottom w:val="single" w:sz="4" w:space="0" w:color="auto"/>
              <w:right w:val="single" w:sz="4" w:space="0" w:color="auto"/>
            </w:tcBorders>
            <w:shd w:val="clear" w:color="auto" w:fill="auto"/>
            <w:noWrap/>
            <w:vAlign w:val="bottom"/>
            <w:hideMark/>
          </w:tcPr>
          <w:p w14:paraId="54AC06BE"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(2.9)</w:t>
            </w:r>
          </w:p>
        </w:tc>
        <w:tc>
          <w:tcPr>
            <w:tcW w:w="1530" w:type="dxa"/>
            <w:tcBorders>
              <w:top w:val="nil"/>
              <w:left w:val="nil"/>
              <w:bottom w:val="single" w:sz="4" w:space="0" w:color="auto"/>
              <w:right w:val="single" w:sz="4" w:space="0" w:color="auto"/>
            </w:tcBorders>
            <w:shd w:val="clear" w:color="auto" w:fill="auto"/>
            <w:noWrap/>
            <w:vAlign w:val="bottom"/>
            <w:hideMark/>
          </w:tcPr>
          <w:p w14:paraId="668B9AA3"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12 (34.3)</w:t>
            </w:r>
          </w:p>
        </w:tc>
        <w:tc>
          <w:tcPr>
            <w:tcW w:w="1530" w:type="dxa"/>
            <w:tcBorders>
              <w:top w:val="nil"/>
              <w:left w:val="nil"/>
              <w:bottom w:val="single" w:sz="4" w:space="0" w:color="auto"/>
              <w:right w:val="single" w:sz="4" w:space="0" w:color="auto"/>
            </w:tcBorders>
            <w:shd w:val="clear" w:color="auto" w:fill="auto"/>
            <w:noWrap/>
            <w:vAlign w:val="bottom"/>
            <w:hideMark/>
          </w:tcPr>
          <w:p w14:paraId="14B8437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15 (42.9)</w:t>
            </w:r>
          </w:p>
        </w:tc>
      </w:tr>
      <w:tr w:rsidR="00442CC1" w:rsidRPr="0016235B" w14:paraId="28593C21"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54462DAB"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for profit</w:t>
            </w:r>
          </w:p>
        </w:tc>
        <w:tc>
          <w:tcPr>
            <w:tcW w:w="1448" w:type="dxa"/>
            <w:tcBorders>
              <w:top w:val="nil"/>
              <w:left w:val="nil"/>
              <w:bottom w:val="single" w:sz="4" w:space="0" w:color="auto"/>
              <w:right w:val="single" w:sz="4" w:space="0" w:color="auto"/>
            </w:tcBorders>
            <w:shd w:val="clear" w:color="auto" w:fill="auto"/>
            <w:noWrap/>
            <w:vAlign w:val="bottom"/>
            <w:hideMark/>
          </w:tcPr>
          <w:p w14:paraId="2352D50F"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0 (0)</w:t>
            </w:r>
          </w:p>
        </w:tc>
        <w:tc>
          <w:tcPr>
            <w:tcW w:w="1440" w:type="dxa"/>
            <w:tcBorders>
              <w:top w:val="nil"/>
              <w:left w:val="nil"/>
              <w:bottom w:val="single" w:sz="4" w:space="0" w:color="auto"/>
              <w:right w:val="single" w:sz="4" w:space="0" w:color="auto"/>
            </w:tcBorders>
            <w:shd w:val="clear" w:color="auto" w:fill="auto"/>
            <w:noWrap/>
            <w:vAlign w:val="bottom"/>
            <w:hideMark/>
          </w:tcPr>
          <w:p w14:paraId="3BC4756B"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11(29.0)</w:t>
            </w:r>
          </w:p>
        </w:tc>
        <w:tc>
          <w:tcPr>
            <w:tcW w:w="1530" w:type="dxa"/>
            <w:tcBorders>
              <w:top w:val="nil"/>
              <w:left w:val="nil"/>
              <w:bottom w:val="single" w:sz="4" w:space="0" w:color="auto"/>
              <w:right w:val="single" w:sz="4" w:space="0" w:color="auto"/>
            </w:tcBorders>
            <w:shd w:val="clear" w:color="auto" w:fill="auto"/>
            <w:noWrap/>
            <w:vAlign w:val="bottom"/>
            <w:hideMark/>
          </w:tcPr>
          <w:p w14:paraId="7AD962F5"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(5.3)</w:t>
            </w:r>
          </w:p>
        </w:tc>
        <w:tc>
          <w:tcPr>
            <w:tcW w:w="1530" w:type="dxa"/>
            <w:tcBorders>
              <w:top w:val="nil"/>
              <w:left w:val="nil"/>
              <w:bottom w:val="single" w:sz="4" w:space="0" w:color="auto"/>
              <w:right w:val="single" w:sz="4" w:space="0" w:color="auto"/>
            </w:tcBorders>
            <w:shd w:val="clear" w:color="auto" w:fill="auto"/>
            <w:noWrap/>
            <w:vAlign w:val="bottom"/>
            <w:hideMark/>
          </w:tcPr>
          <w:p w14:paraId="00B65016"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6 (15.8)</w:t>
            </w:r>
          </w:p>
        </w:tc>
        <w:tc>
          <w:tcPr>
            <w:tcW w:w="1530" w:type="dxa"/>
            <w:tcBorders>
              <w:top w:val="nil"/>
              <w:left w:val="nil"/>
              <w:bottom w:val="single" w:sz="4" w:space="0" w:color="auto"/>
              <w:right w:val="single" w:sz="4" w:space="0" w:color="auto"/>
            </w:tcBorders>
            <w:shd w:val="clear" w:color="auto" w:fill="auto"/>
            <w:noWrap/>
            <w:vAlign w:val="bottom"/>
            <w:hideMark/>
          </w:tcPr>
          <w:p w14:paraId="6D2B11D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19 (50.0)</w:t>
            </w:r>
          </w:p>
        </w:tc>
      </w:tr>
      <w:tr w:rsidR="00442CC1" w:rsidRPr="0016235B" w14:paraId="5E813E75"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02649223"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8" w:type="dxa"/>
            <w:tcBorders>
              <w:top w:val="nil"/>
              <w:left w:val="nil"/>
              <w:bottom w:val="single" w:sz="4" w:space="0" w:color="auto"/>
              <w:right w:val="single" w:sz="4" w:space="0" w:color="auto"/>
            </w:tcBorders>
            <w:shd w:val="clear" w:color="auto" w:fill="auto"/>
            <w:noWrap/>
            <w:vAlign w:val="bottom"/>
            <w:hideMark/>
          </w:tcPr>
          <w:p w14:paraId="6746FB8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0" w:type="dxa"/>
            <w:tcBorders>
              <w:top w:val="nil"/>
              <w:left w:val="nil"/>
              <w:bottom w:val="single" w:sz="4" w:space="0" w:color="auto"/>
              <w:right w:val="single" w:sz="4" w:space="0" w:color="auto"/>
            </w:tcBorders>
            <w:shd w:val="clear" w:color="auto" w:fill="auto"/>
            <w:noWrap/>
            <w:vAlign w:val="bottom"/>
            <w:hideMark/>
          </w:tcPr>
          <w:p w14:paraId="292BD6A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11D61A56"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5DBD1707"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3A2953D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r>
      <w:tr w:rsidR="00442CC1" w:rsidRPr="0016235B" w14:paraId="537E6552"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1F45FDED" w14:textId="77777777" w:rsidR="00442CC1" w:rsidRPr="0016235B" w:rsidRDefault="00442CC1" w:rsidP="00442CC1">
            <w:pPr>
              <w:spacing w:after="0" w:line="240" w:lineRule="auto"/>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Facility location</w:t>
            </w:r>
          </w:p>
        </w:tc>
        <w:tc>
          <w:tcPr>
            <w:tcW w:w="1448" w:type="dxa"/>
            <w:tcBorders>
              <w:top w:val="nil"/>
              <w:left w:val="nil"/>
              <w:bottom w:val="single" w:sz="4" w:space="0" w:color="auto"/>
              <w:right w:val="single" w:sz="4" w:space="0" w:color="auto"/>
            </w:tcBorders>
            <w:shd w:val="clear" w:color="auto" w:fill="auto"/>
            <w:noWrap/>
            <w:vAlign w:val="bottom"/>
            <w:hideMark/>
          </w:tcPr>
          <w:p w14:paraId="5B2B2465"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0" w:type="dxa"/>
            <w:tcBorders>
              <w:top w:val="nil"/>
              <w:left w:val="nil"/>
              <w:bottom w:val="single" w:sz="4" w:space="0" w:color="auto"/>
              <w:right w:val="single" w:sz="4" w:space="0" w:color="auto"/>
            </w:tcBorders>
            <w:shd w:val="clear" w:color="auto" w:fill="auto"/>
            <w:noWrap/>
            <w:vAlign w:val="bottom"/>
            <w:hideMark/>
          </w:tcPr>
          <w:p w14:paraId="2120127B"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6671BFB7"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34D4B0D0"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5E8FF387"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r>
      <w:tr w:rsidR="00442CC1" w:rsidRPr="0016235B" w14:paraId="4CF848AA"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3301EE7B"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Urban</w:t>
            </w:r>
          </w:p>
        </w:tc>
        <w:tc>
          <w:tcPr>
            <w:tcW w:w="1448" w:type="dxa"/>
            <w:tcBorders>
              <w:top w:val="nil"/>
              <w:left w:val="nil"/>
              <w:bottom w:val="single" w:sz="4" w:space="0" w:color="auto"/>
              <w:right w:val="single" w:sz="4" w:space="0" w:color="auto"/>
            </w:tcBorders>
            <w:shd w:val="clear" w:color="auto" w:fill="auto"/>
            <w:noWrap/>
            <w:vAlign w:val="bottom"/>
            <w:hideMark/>
          </w:tcPr>
          <w:p w14:paraId="6C26A98A"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11 (14.1)</w:t>
            </w:r>
          </w:p>
        </w:tc>
        <w:tc>
          <w:tcPr>
            <w:tcW w:w="1440" w:type="dxa"/>
            <w:tcBorders>
              <w:top w:val="nil"/>
              <w:left w:val="nil"/>
              <w:bottom w:val="single" w:sz="4" w:space="0" w:color="auto"/>
              <w:right w:val="single" w:sz="4" w:space="0" w:color="auto"/>
            </w:tcBorders>
            <w:shd w:val="clear" w:color="auto" w:fill="auto"/>
            <w:noWrap/>
            <w:vAlign w:val="bottom"/>
            <w:hideMark/>
          </w:tcPr>
          <w:p w14:paraId="2243109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17 (21.8)</w:t>
            </w:r>
          </w:p>
        </w:tc>
        <w:tc>
          <w:tcPr>
            <w:tcW w:w="1530" w:type="dxa"/>
            <w:tcBorders>
              <w:top w:val="nil"/>
              <w:left w:val="nil"/>
              <w:bottom w:val="single" w:sz="4" w:space="0" w:color="auto"/>
              <w:right w:val="single" w:sz="4" w:space="0" w:color="auto"/>
            </w:tcBorders>
            <w:shd w:val="clear" w:color="auto" w:fill="auto"/>
            <w:noWrap/>
            <w:vAlign w:val="bottom"/>
            <w:hideMark/>
          </w:tcPr>
          <w:p w14:paraId="01DF40DA"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8 (10.1)</w:t>
            </w:r>
          </w:p>
        </w:tc>
        <w:tc>
          <w:tcPr>
            <w:tcW w:w="1530" w:type="dxa"/>
            <w:tcBorders>
              <w:top w:val="nil"/>
              <w:left w:val="nil"/>
              <w:bottom w:val="single" w:sz="4" w:space="0" w:color="auto"/>
              <w:right w:val="single" w:sz="4" w:space="0" w:color="auto"/>
            </w:tcBorders>
            <w:shd w:val="clear" w:color="auto" w:fill="auto"/>
            <w:noWrap/>
            <w:vAlign w:val="bottom"/>
            <w:hideMark/>
          </w:tcPr>
          <w:p w14:paraId="6CC7AB2F"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11 (14.1)</w:t>
            </w:r>
          </w:p>
        </w:tc>
        <w:tc>
          <w:tcPr>
            <w:tcW w:w="1530" w:type="dxa"/>
            <w:tcBorders>
              <w:top w:val="nil"/>
              <w:left w:val="nil"/>
              <w:bottom w:val="single" w:sz="4" w:space="0" w:color="auto"/>
              <w:right w:val="single" w:sz="4" w:space="0" w:color="auto"/>
            </w:tcBorders>
            <w:shd w:val="clear" w:color="auto" w:fill="auto"/>
            <w:noWrap/>
            <w:vAlign w:val="bottom"/>
            <w:hideMark/>
          </w:tcPr>
          <w:p w14:paraId="42FF0890"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31 (39.7)</w:t>
            </w:r>
          </w:p>
        </w:tc>
      </w:tr>
      <w:tr w:rsidR="00442CC1" w:rsidRPr="0016235B" w14:paraId="5F0088F7"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6C087F1E"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Rural</w:t>
            </w:r>
          </w:p>
        </w:tc>
        <w:tc>
          <w:tcPr>
            <w:tcW w:w="1448" w:type="dxa"/>
            <w:tcBorders>
              <w:top w:val="nil"/>
              <w:left w:val="nil"/>
              <w:bottom w:val="single" w:sz="4" w:space="0" w:color="auto"/>
              <w:right w:val="single" w:sz="4" w:space="0" w:color="auto"/>
            </w:tcBorders>
            <w:shd w:val="clear" w:color="auto" w:fill="auto"/>
            <w:noWrap/>
            <w:vAlign w:val="bottom"/>
            <w:hideMark/>
          </w:tcPr>
          <w:p w14:paraId="1D01882E"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0 (0)</w:t>
            </w:r>
          </w:p>
        </w:tc>
        <w:tc>
          <w:tcPr>
            <w:tcW w:w="1440" w:type="dxa"/>
            <w:tcBorders>
              <w:top w:val="nil"/>
              <w:left w:val="nil"/>
              <w:bottom w:val="single" w:sz="4" w:space="0" w:color="auto"/>
              <w:right w:val="single" w:sz="4" w:space="0" w:color="auto"/>
            </w:tcBorders>
            <w:shd w:val="clear" w:color="auto" w:fill="auto"/>
            <w:noWrap/>
            <w:vAlign w:val="bottom"/>
            <w:hideMark/>
          </w:tcPr>
          <w:p w14:paraId="5ED1FDF0"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8 (9.1)</w:t>
            </w:r>
          </w:p>
        </w:tc>
        <w:tc>
          <w:tcPr>
            <w:tcW w:w="1530" w:type="dxa"/>
            <w:tcBorders>
              <w:top w:val="nil"/>
              <w:left w:val="nil"/>
              <w:bottom w:val="single" w:sz="4" w:space="0" w:color="auto"/>
              <w:right w:val="single" w:sz="4" w:space="0" w:color="auto"/>
            </w:tcBorders>
            <w:shd w:val="clear" w:color="auto" w:fill="auto"/>
            <w:noWrap/>
            <w:vAlign w:val="bottom"/>
            <w:hideMark/>
          </w:tcPr>
          <w:p w14:paraId="3907C6F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18 (20.4)</w:t>
            </w:r>
          </w:p>
        </w:tc>
        <w:tc>
          <w:tcPr>
            <w:tcW w:w="1530" w:type="dxa"/>
            <w:tcBorders>
              <w:top w:val="nil"/>
              <w:left w:val="nil"/>
              <w:bottom w:val="single" w:sz="4" w:space="0" w:color="auto"/>
              <w:right w:val="single" w:sz="4" w:space="0" w:color="auto"/>
            </w:tcBorders>
            <w:shd w:val="clear" w:color="auto" w:fill="auto"/>
            <w:noWrap/>
            <w:vAlign w:val="bottom"/>
            <w:hideMark/>
          </w:tcPr>
          <w:p w14:paraId="7A69B9D7"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35 (39.8)</w:t>
            </w:r>
          </w:p>
        </w:tc>
        <w:tc>
          <w:tcPr>
            <w:tcW w:w="1530" w:type="dxa"/>
            <w:tcBorders>
              <w:top w:val="nil"/>
              <w:left w:val="nil"/>
              <w:bottom w:val="single" w:sz="4" w:space="0" w:color="auto"/>
              <w:right w:val="single" w:sz="4" w:space="0" w:color="auto"/>
            </w:tcBorders>
            <w:shd w:val="clear" w:color="auto" w:fill="auto"/>
            <w:noWrap/>
            <w:vAlign w:val="bottom"/>
            <w:hideMark/>
          </w:tcPr>
          <w:p w14:paraId="450B567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27 (30.7)</w:t>
            </w:r>
          </w:p>
        </w:tc>
      </w:tr>
      <w:tr w:rsidR="00442CC1" w:rsidRPr="0016235B" w14:paraId="0DA42683"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329349FE"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8" w:type="dxa"/>
            <w:tcBorders>
              <w:top w:val="nil"/>
              <w:left w:val="nil"/>
              <w:bottom w:val="single" w:sz="4" w:space="0" w:color="auto"/>
              <w:right w:val="single" w:sz="4" w:space="0" w:color="auto"/>
            </w:tcBorders>
            <w:shd w:val="clear" w:color="auto" w:fill="auto"/>
            <w:noWrap/>
            <w:vAlign w:val="bottom"/>
            <w:hideMark/>
          </w:tcPr>
          <w:p w14:paraId="578A5C1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440" w:type="dxa"/>
            <w:tcBorders>
              <w:top w:val="nil"/>
              <w:left w:val="nil"/>
              <w:bottom w:val="single" w:sz="4" w:space="0" w:color="auto"/>
              <w:right w:val="single" w:sz="4" w:space="0" w:color="auto"/>
            </w:tcBorders>
            <w:shd w:val="clear" w:color="auto" w:fill="auto"/>
            <w:noWrap/>
            <w:vAlign w:val="bottom"/>
            <w:hideMark/>
          </w:tcPr>
          <w:p w14:paraId="71FB5E0E"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5354236A"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5DDF7BB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619AE085"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w:t>
            </w:r>
          </w:p>
        </w:tc>
      </w:tr>
      <w:tr w:rsidR="00442CC1" w:rsidRPr="0016235B" w14:paraId="4F4C49F7"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6D661B0C" w14:textId="77777777" w:rsidR="00442CC1" w:rsidRPr="0016235B" w:rsidRDefault="00442CC1" w:rsidP="00442CC1">
            <w:pPr>
              <w:spacing w:after="0" w:line="240" w:lineRule="auto"/>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Health region</w:t>
            </w:r>
          </w:p>
        </w:tc>
        <w:tc>
          <w:tcPr>
            <w:tcW w:w="1448" w:type="dxa"/>
            <w:tcBorders>
              <w:top w:val="nil"/>
              <w:left w:val="nil"/>
              <w:bottom w:val="single" w:sz="4" w:space="0" w:color="auto"/>
              <w:right w:val="single" w:sz="4" w:space="0" w:color="auto"/>
            </w:tcBorders>
            <w:shd w:val="clear" w:color="auto" w:fill="auto"/>
            <w:noWrap/>
            <w:vAlign w:val="bottom"/>
            <w:hideMark/>
          </w:tcPr>
          <w:p w14:paraId="012882B1"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 </w:t>
            </w:r>
          </w:p>
        </w:tc>
        <w:tc>
          <w:tcPr>
            <w:tcW w:w="1440" w:type="dxa"/>
            <w:tcBorders>
              <w:top w:val="nil"/>
              <w:left w:val="nil"/>
              <w:bottom w:val="single" w:sz="4" w:space="0" w:color="auto"/>
              <w:right w:val="single" w:sz="4" w:space="0" w:color="auto"/>
            </w:tcBorders>
            <w:shd w:val="clear" w:color="auto" w:fill="auto"/>
            <w:noWrap/>
            <w:vAlign w:val="bottom"/>
            <w:hideMark/>
          </w:tcPr>
          <w:p w14:paraId="0A2A6000"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16B18D1C"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347F377D"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0F807D1C"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 </w:t>
            </w:r>
          </w:p>
        </w:tc>
      </w:tr>
      <w:tr w:rsidR="00442CC1" w:rsidRPr="0016235B" w14:paraId="1C3D5228"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3CBE600F"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Central1</w:t>
            </w:r>
          </w:p>
        </w:tc>
        <w:tc>
          <w:tcPr>
            <w:tcW w:w="1448" w:type="dxa"/>
            <w:tcBorders>
              <w:top w:val="nil"/>
              <w:left w:val="nil"/>
              <w:bottom w:val="single" w:sz="4" w:space="0" w:color="auto"/>
              <w:right w:val="single" w:sz="4" w:space="0" w:color="auto"/>
            </w:tcBorders>
            <w:shd w:val="clear" w:color="auto" w:fill="auto"/>
            <w:noWrap/>
            <w:vAlign w:val="bottom"/>
            <w:hideMark/>
          </w:tcPr>
          <w:p w14:paraId="6E78010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(4.0)</w:t>
            </w:r>
          </w:p>
        </w:tc>
        <w:tc>
          <w:tcPr>
            <w:tcW w:w="1440" w:type="dxa"/>
            <w:tcBorders>
              <w:top w:val="nil"/>
              <w:left w:val="nil"/>
              <w:bottom w:val="single" w:sz="4" w:space="0" w:color="auto"/>
              <w:right w:val="single" w:sz="4" w:space="0" w:color="auto"/>
            </w:tcBorders>
            <w:shd w:val="clear" w:color="auto" w:fill="auto"/>
            <w:noWrap/>
            <w:vAlign w:val="bottom"/>
            <w:hideMark/>
          </w:tcPr>
          <w:p w14:paraId="0CCB703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 (12.0)</w:t>
            </w:r>
          </w:p>
        </w:tc>
        <w:tc>
          <w:tcPr>
            <w:tcW w:w="1530" w:type="dxa"/>
            <w:tcBorders>
              <w:top w:val="nil"/>
              <w:left w:val="nil"/>
              <w:bottom w:val="single" w:sz="4" w:space="0" w:color="auto"/>
              <w:right w:val="single" w:sz="4" w:space="0" w:color="auto"/>
            </w:tcBorders>
            <w:shd w:val="clear" w:color="auto" w:fill="auto"/>
            <w:noWrap/>
            <w:vAlign w:val="bottom"/>
            <w:hideMark/>
          </w:tcPr>
          <w:p w14:paraId="739D84C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 (16.0)</w:t>
            </w:r>
          </w:p>
        </w:tc>
        <w:tc>
          <w:tcPr>
            <w:tcW w:w="1530" w:type="dxa"/>
            <w:tcBorders>
              <w:top w:val="nil"/>
              <w:left w:val="nil"/>
              <w:bottom w:val="single" w:sz="4" w:space="0" w:color="auto"/>
              <w:right w:val="single" w:sz="4" w:space="0" w:color="auto"/>
            </w:tcBorders>
            <w:shd w:val="clear" w:color="auto" w:fill="auto"/>
            <w:noWrap/>
            <w:vAlign w:val="bottom"/>
            <w:hideMark/>
          </w:tcPr>
          <w:p w14:paraId="7CFC0ECC"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10 (40.0)</w:t>
            </w:r>
          </w:p>
        </w:tc>
        <w:tc>
          <w:tcPr>
            <w:tcW w:w="1530" w:type="dxa"/>
            <w:tcBorders>
              <w:top w:val="nil"/>
              <w:left w:val="nil"/>
              <w:bottom w:val="single" w:sz="4" w:space="0" w:color="auto"/>
              <w:right w:val="single" w:sz="4" w:space="0" w:color="auto"/>
            </w:tcBorders>
            <w:shd w:val="clear" w:color="auto" w:fill="auto"/>
            <w:noWrap/>
            <w:vAlign w:val="bottom"/>
            <w:hideMark/>
          </w:tcPr>
          <w:p w14:paraId="6CD0AB02"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7 (28.0</w:t>
            </w:r>
          </w:p>
        </w:tc>
      </w:tr>
      <w:tr w:rsidR="00442CC1" w:rsidRPr="0016235B" w14:paraId="3C1B5F0F"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778587B1"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Central2</w:t>
            </w:r>
          </w:p>
        </w:tc>
        <w:tc>
          <w:tcPr>
            <w:tcW w:w="1448" w:type="dxa"/>
            <w:tcBorders>
              <w:top w:val="nil"/>
              <w:left w:val="nil"/>
              <w:bottom w:val="single" w:sz="4" w:space="0" w:color="auto"/>
              <w:right w:val="single" w:sz="4" w:space="0" w:color="auto"/>
            </w:tcBorders>
            <w:shd w:val="clear" w:color="auto" w:fill="auto"/>
            <w:noWrap/>
            <w:vAlign w:val="bottom"/>
            <w:hideMark/>
          </w:tcPr>
          <w:p w14:paraId="58B3963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(9.1)</w:t>
            </w:r>
          </w:p>
        </w:tc>
        <w:tc>
          <w:tcPr>
            <w:tcW w:w="1440" w:type="dxa"/>
            <w:tcBorders>
              <w:top w:val="nil"/>
              <w:left w:val="nil"/>
              <w:bottom w:val="single" w:sz="4" w:space="0" w:color="auto"/>
              <w:right w:val="single" w:sz="4" w:space="0" w:color="auto"/>
            </w:tcBorders>
            <w:shd w:val="clear" w:color="auto" w:fill="auto"/>
            <w:noWrap/>
            <w:vAlign w:val="bottom"/>
            <w:hideMark/>
          </w:tcPr>
          <w:p w14:paraId="7C96EB8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(18.2)</w:t>
            </w:r>
          </w:p>
        </w:tc>
        <w:tc>
          <w:tcPr>
            <w:tcW w:w="1530" w:type="dxa"/>
            <w:tcBorders>
              <w:top w:val="nil"/>
              <w:left w:val="nil"/>
              <w:bottom w:val="single" w:sz="4" w:space="0" w:color="auto"/>
              <w:right w:val="single" w:sz="4" w:space="0" w:color="auto"/>
            </w:tcBorders>
            <w:shd w:val="clear" w:color="auto" w:fill="auto"/>
            <w:noWrap/>
            <w:vAlign w:val="bottom"/>
            <w:hideMark/>
          </w:tcPr>
          <w:p w14:paraId="44D6D703"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(9.1)</w:t>
            </w:r>
          </w:p>
        </w:tc>
        <w:tc>
          <w:tcPr>
            <w:tcW w:w="1530" w:type="dxa"/>
            <w:tcBorders>
              <w:top w:val="nil"/>
              <w:left w:val="nil"/>
              <w:bottom w:val="single" w:sz="4" w:space="0" w:color="auto"/>
              <w:right w:val="single" w:sz="4" w:space="0" w:color="auto"/>
            </w:tcBorders>
            <w:shd w:val="clear" w:color="auto" w:fill="auto"/>
            <w:noWrap/>
            <w:vAlign w:val="bottom"/>
            <w:hideMark/>
          </w:tcPr>
          <w:p w14:paraId="01036BD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 (27.3)</w:t>
            </w:r>
          </w:p>
        </w:tc>
        <w:tc>
          <w:tcPr>
            <w:tcW w:w="1530" w:type="dxa"/>
            <w:tcBorders>
              <w:top w:val="nil"/>
              <w:left w:val="nil"/>
              <w:bottom w:val="single" w:sz="4" w:space="0" w:color="auto"/>
              <w:right w:val="single" w:sz="4" w:space="0" w:color="auto"/>
            </w:tcBorders>
            <w:shd w:val="clear" w:color="auto" w:fill="auto"/>
            <w:noWrap/>
            <w:vAlign w:val="bottom"/>
            <w:hideMark/>
          </w:tcPr>
          <w:p w14:paraId="7B4C6068"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 (36.3)</w:t>
            </w:r>
          </w:p>
        </w:tc>
      </w:tr>
      <w:tr w:rsidR="00442CC1" w:rsidRPr="0016235B" w14:paraId="67A1D3FA"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011A8969"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1448" w:type="dxa"/>
            <w:tcBorders>
              <w:top w:val="nil"/>
              <w:left w:val="nil"/>
              <w:bottom w:val="single" w:sz="4" w:space="0" w:color="auto"/>
              <w:right w:val="single" w:sz="4" w:space="0" w:color="auto"/>
            </w:tcBorders>
            <w:shd w:val="clear" w:color="auto" w:fill="auto"/>
            <w:noWrap/>
            <w:vAlign w:val="bottom"/>
            <w:hideMark/>
          </w:tcPr>
          <w:p w14:paraId="7216352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(3.0)</w:t>
            </w:r>
          </w:p>
        </w:tc>
        <w:tc>
          <w:tcPr>
            <w:tcW w:w="1440" w:type="dxa"/>
            <w:tcBorders>
              <w:top w:val="nil"/>
              <w:left w:val="nil"/>
              <w:bottom w:val="single" w:sz="4" w:space="0" w:color="auto"/>
              <w:right w:val="single" w:sz="4" w:space="0" w:color="auto"/>
            </w:tcBorders>
            <w:shd w:val="clear" w:color="auto" w:fill="auto"/>
            <w:noWrap/>
            <w:vAlign w:val="bottom"/>
            <w:hideMark/>
          </w:tcPr>
          <w:p w14:paraId="5901A887"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6 (18.2)</w:t>
            </w:r>
          </w:p>
        </w:tc>
        <w:tc>
          <w:tcPr>
            <w:tcW w:w="1530" w:type="dxa"/>
            <w:tcBorders>
              <w:top w:val="nil"/>
              <w:left w:val="nil"/>
              <w:bottom w:val="single" w:sz="4" w:space="0" w:color="auto"/>
              <w:right w:val="single" w:sz="4" w:space="0" w:color="auto"/>
            </w:tcBorders>
            <w:shd w:val="clear" w:color="auto" w:fill="auto"/>
            <w:noWrap/>
            <w:vAlign w:val="bottom"/>
            <w:hideMark/>
          </w:tcPr>
          <w:p w14:paraId="2FAB3190"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(6.1)</w:t>
            </w:r>
          </w:p>
        </w:tc>
        <w:tc>
          <w:tcPr>
            <w:tcW w:w="1530" w:type="dxa"/>
            <w:tcBorders>
              <w:top w:val="nil"/>
              <w:left w:val="nil"/>
              <w:bottom w:val="single" w:sz="4" w:space="0" w:color="auto"/>
              <w:right w:val="single" w:sz="4" w:space="0" w:color="auto"/>
            </w:tcBorders>
            <w:shd w:val="clear" w:color="auto" w:fill="auto"/>
            <w:noWrap/>
            <w:vAlign w:val="bottom"/>
            <w:hideMark/>
          </w:tcPr>
          <w:p w14:paraId="5599381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 (6.1)</w:t>
            </w:r>
          </w:p>
        </w:tc>
        <w:tc>
          <w:tcPr>
            <w:tcW w:w="1530" w:type="dxa"/>
            <w:tcBorders>
              <w:top w:val="nil"/>
              <w:left w:val="nil"/>
              <w:bottom w:val="single" w:sz="4" w:space="0" w:color="auto"/>
              <w:right w:val="single" w:sz="4" w:space="0" w:color="auto"/>
            </w:tcBorders>
            <w:shd w:val="clear" w:color="auto" w:fill="auto"/>
            <w:noWrap/>
            <w:vAlign w:val="bottom"/>
            <w:hideMark/>
          </w:tcPr>
          <w:p w14:paraId="72093E2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22 (66.7)</w:t>
            </w:r>
          </w:p>
        </w:tc>
      </w:tr>
      <w:tr w:rsidR="00442CC1" w:rsidRPr="0016235B" w14:paraId="4DC89F60"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464E030C"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Karamoja</w:t>
            </w:r>
          </w:p>
        </w:tc>
        <w:tc>
          <w:tcPr>
            <w:tcW w:w="1448" w:type="dxa"/>
            <w:tcBorders>
              <w:top w:val="nil"/>
              <w:left w:val="nil"/>
              <w:bottom w:val="single" w:sz="4" w:space="0" w:color="auto"/>
              <w:right w:val="single" w:sz="4" w:space="0" w:color="auto"/>
            </w:tcBorders>
            <w:shd w:val="clear" w:color="auto" w:fill="auto"/>
            <w:noWrap/>
            <w:vAlign w:val="bottom"/>
            <w:hideMark/>
          </w:tcPr>
          <w:p w14:paraId="39D7CC6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(16.7)</w:t>
            </w:r>
          </w:p>
        </w:tc>
        <w:tc>
          <w:tcPr>
            <w:tcW w:w="1440" w:type="dxa"/>
            <w:tcBorders>
              <w:top w:val="nil"/>
              <w:left w:val="nil"/>
              <w:bottom w:val="single" w:sz="4" w:space="0" w:color="auto"/>
              <w:right w:val="single" w:sz="4" w:space="0" w:color="auto"/>
            </w:tcBorders>
            <w:shd w:val="clear" w:color="auto" w:fill="auto"/>
            <w:noWrap/>
            <w:vAlign w:val="bottom"/>
            <w:hideMark/>
          </w:tcPr>
          <w:p w14:paraId="26C9A4F3"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(16.7)</w:t>
            </w:r>
          </w:p>
        </w:tc>
        <w:tc>
          <w:tcPr>
            <w:tcW w:w="1530" w:type="dxa"/>
            <w:tcBorders>
              <w:top w:val="nil"/>
              <w:left w:val="nil"/>
              <w:bottom w:val="single" w:sz="4" w:space="0" w:color="auto"/>
              <w:right w:val="single" w:sz="4" w:space="0" w:color="auto"/>
            </w:tcBorders>
            <w:shd w:val="clear" w:color="auto" w:fill="auto"/>
            <w:noWrap/>
            <w:vAlign w:val="bottom"/>
            <w:hideMark/>
          </w:tcPr>
          <w:p w14:paraId="20C9B8B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0 (0.0)</w:t>
            </w:r>
          </w:p>
        </w:tc>
        <w:tc>
          <w:tcPr>
            <w:tcW w:w="1530" w:type="dxa"/>
            <w:tcBorders>
              <w:top w:val="nil"/>
              <w:left w:val="nil"/>
              <w:bottom w:val="single" w:sz="4" w:space="0" w:color="auto"/>
              <w:right w:val="single" w:sz="4" w:space="0" w:color="auto"/>
            </w:tcBorders>
            <w:shd w:val="clear" w:color="auto" w:fill="auto"/>
            <w:noWrap/>
            <w:vAlign w:val="bottom"/>
            <w:hideMark/>
          </w:tcPr>
          <w:p w14:paraId="75C05EC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(33.3)</w:t>
            </w:r>
          </w:p>
        </w:tc>
        <w:tc>
          <w:tcPr>
            <w:tcW w:w="1530" w:type="dxa"/>
            <w:tcBorders>
              <w:top w:val="nil"/>
              <w:left w:val="nil"/>
              <w:bottom w:val="single" w:sz="4" w:space="0" w:color="auto"/>
              <w:right w:val="single" w:sz="4" w:space="0" w:color="auto"/>
            </w:tcBorders>
            <w:shd w:val="clear" w:color="auto" w:fill="auto"/>
            <w:noWrap/>
            <w:vAlign w:val="bottom"/>
            <w:hideMark/>
          </w:tcPr>
          <w:p w14:paraId="7000123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(33.3)</w:t>
            </w:r>
          </w:p>
        </w:tc>
      </w:tr>
      <w:tr w:rsidR="00442CC1" w:rsidRPr="0016235B" w14:paraId="138AD592"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24971166" w14:textId="19C865A2"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Mid-Eastern</w:t>
            </w:r>
          </w:p>
        </w:tc>
        <w:tc>
          <w:tcPr>
            <w:tcW w:w="1448" w:type="dxa"/>
            <w:tcBorders>
              <w:top w:val="nil"/>
              <w:left w:val="nil"/>
              <w:bottom w:val="single" w:sz="4" w:space="0" w:color="auto"/>
              <w:right w:val="single" w:sz="4" w:space="0" w:color="auto"/>
            </w:tcBorders>
            <w:shd w:val="clear" w:color="auto" w:fill="auto"/>
            <w:noWrap/>
            <w:vAlign w:val="bottom"/>
            <w:hideMark/>
          </w:tcPr>
          <w:p w14:paraId="528342A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(5.0)</w:t>
            </w:r>
          </w:p>
        </w:tc>
        <w:tc>
          <w:tcPr>
            <w:tcW w:w="1440" w:type="dxa"/>
            <w:tcBorders>
              <w:top w:val="nil"/>
              <w:left w:val="nil"/>
              <w:bottom w:val="single" w:sz="4" w:space="0" w:color="auto"/>
              <w:right w:val="single" w:sz="4" w:space="0" w:color="auto"/>
            </w:tcBorders>
            <w:shd w:val="clear" w:color="auto" w:fill="auto"/>
            <w:noWrap/>
            <w:vAlign w:val="bottom"/>
            <w:hideMark/>
          </w:tcPr>
          <w:p w14:paraId="10A00CC2"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5 (25.0)</w:t>
            </w:r>
          </w:p>
        </w:tc>
        <w:tc>
          <w:tcPr>
            <w:tcW w:w="1530" w:type="dxa"/>
            <w:tcBorders>
              <w:top w:val="nil"/>
              <w:left w:val="nil"/>
              <w:bottom w:val="single" w:sz="4" w:space="0" w:color="auto"/>
              <w:right w:val="single" w:sz="4" w:space="0" w:color="auto"/>
            </w:tcBorders>
            <w:shd w:val="clear" w:color="auto" w:fill="auto"/>
            <w:noWrap/>
            <w:vAlign w:val="bottom"/>
            <w:hideMark/>
          </w:tcPr>
          <w:p w14:paraId="67162206"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 (15.0)</w:t>
            </w:r>
          </w:p>
        </w:tc>
        <w:tc>
          <w:tcPr>
            <w:tcW w:w="1530" w:type="dxa"/>
            <w:tcBorders>
              <w:top w:val="nil"/>
              <w:left w:val="nil"/>
              <w:bottom w:val="single" w:sz="4" w:space="0" w:color="auto"/>
              <w:right w:val="single" w:sz="4" w:space="0" w:color="auto"/>
            </w:tcBorders>
            <w:shd w:val="clear" w:color="auto" w:fill="auto"/>
            <w:noWrap/>
            <w:vAlign w:val="bottom"/>
            <w:hideMark/>
          </w:tcPr>
          <w:p w14:paraId="57243F2F"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8 (40.0)</w:t>
            </w:r>
          </w:p>
        </w:tc>
        <w:tc>
          <w:tcPr>
            <w:tcW w:w="1530" w:type="dxa"/>
            <w:tcBorders>
              <w:top w:val="nil"/>
              <w:left w:val="nil"/>
              <w:bottom w:val="single" w:sz="4" w:space="0" w:color="auto"/>
              <w:right w:val="single" w:sz="4" w:space="0" w:color="auto"/>
            </w:tcBorders>
            <w:shd w:val="clear" w:color="auto" w:fill="auto"/>
            <w:noWrap/>
            <w:vAlign w:val="bottom"/>
            <w:hideMark/>
          </w:tcPr>
          <w:p w14:paraId="2498C358"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 (15.0)</w:t>
            </w:r>
          </w:p>
        </w:tc>
      </w:tr>
      <w:tr w:rsidR="00442CC1" w:rsidRPr="0016235B" w14:paraId="63052CEB"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50300A45"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Mid-Northern</w:t>
            </w:r>
          </w:p>
        </w:tc>
        <w:tc>
          <w:tcPr>
            <w:tcW w:w="1448" w:type="dxa"/>
            <w:tcBorders>
              <w:top w:val="nil"/>
              <w:left w:val="nil"/>
              <w:bottom w:val="single" w:sz="4" w:space="0" w:color="auto"/>
              <w:right w:val="single" w:sz="4" w:space="0" w:color="auto"/>
            </w:tcBorders>
            <w:shd w:val="clear" w:color="auto" w:fill="auto"/>
            <w:noWrap/>
            <w:vAlign w:val="bottom"/>
            <w:hideMark/>
          </w:tcPr>
          <w:p w14:paraId="5E06D6C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(11.8)</w:t>
            </w:r>
          </w:p>
        </w:tc>
        <w:tc>
          <w:tcPr>
            <w:tcW w:w="1440" w:type="dxa"/>
            <w:tcBorders>
              <w:top w:val="nil"/>
              <w:left w:val="nil"/>
              <w:bottom w:val="single" w:sz="4" w:space="0" w:color="auto"/>
              <w:right w:val="single" w:sz="4" w:space="0" w:color="auto"/>
            </w:tcBorders>
            <w:shd w:val="clear" w:color="auto" w:fill="auto"/>
            <w:noWrap/>
            <w:vAlign w:val="bottom"/>
            <w:hideMark/>
          </w:tcPr>
          <w:p w14:paraId="476B593A"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(5.9)</w:t>
            </w:r>
          </w:p>
        </w:tc>
        <w:tc>
          <w:tcPr>
            <w:tcW w:w="1530" w:type="dxa"/>
            <w:tcBorders>
              <w:top w:val="nil"/>
              <w:left w:val="nil"/>
              <w:bottom w:val="single" w:sz="4" w:space="0" w:color="auto"/>
              <w:right w:val="single" w:sz="4" w:space="0" w:color="auto"/>
            </w:tcBorders>
            <w:shd w:val="clear" w:color="auto" w:fill="auto"/>
            <w:noWrap/>
            <w:vAlign w:val="bottom"/>
            <w:hideMark/>
          </w:tcPr>
          <w:p w14:paraId="7C4AEF57"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 (17.6)</w:t>
            </w:r>
          </w:p>
        </w:tc>
        <w:tc>
          <w:tcPr>
            <w:tcW w:w="1530" w:type="dxa"/>
            <w:tcBorders>
              <w:top w:val="nil"/>
              <w:left w:val="nil"/>
              <w:bottom w:val="single" w:sz="4" w:space="0" w:color="auto"/>
              <w:right w:val="single" w:sz="4" w:space="0" w:color="auto"/>
            </w:tcBorders>
            <w:shd w:val="clear" w:color="auto" w:fill="auto"/>
            <w:noWrap/>
            <w:vAlign w:val="bottom"/>
            <w:hideMark/>
          </w:tcPr>
          <w:p w14:paraId="61CCE4AC"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 (23.5)</w:t>
            </w:r>
          </w:p>
        </w:tc>
        <w:tc>
          <w:tcPr>
            <w:tcW w:w="1530" w:type="dxa"/>
            <w:tcBorders>
              <w:top w:val="nil"/>
              <w:left w:val="nil"/>
              <w:bottom w:val="single" w:sz="4" w:space="0" w:color="auto"/>
              <w:right w:val="single" w:sz="4" w:space="0" w:color="auto"/>
            </w:tcBorders>
            <w:shd w:val="clear" w:color="auto" w:fill="auto"/>
            <w:noWrap/>
            <w:vAlign w:val="bottom"/>
            <w:hideMark/>
          </w:tcPr>
          <w:p w14:paraId="0C6D954C"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7 (41.2)</w:t>
            </w:r>
          </w:p>
        </w:tc>
      </w:tr>
      <w:tr w:rsidR="00442CC1" w:rsidRPr="0016235B" w14:paraId="768CEBAA"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589928EF"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Mid-West</w:t>
            </w:r>
          </w:p>
        </w:tc>
        <w:tc>
          <w:tcPr>
            <w:tcW w:w="1448" w:type="dxa"/>
            <w:tcBorders>
              <w:top w:val="nil"/>
              <w:left w:val="nil"/>
              <w:bottom w:val="single" w:sz="4" w:space="0" w:color="auto"/>
              <w:right w:val="single" w:sz="4" w:space="0" w:color="auto"/>
            </w:tcBorders>
            <w:shd w:val="clear" w:color="auto" w:fill="auto"/>
            <w:noWrap/>
            <w:vAlign w:val="bottom"/>
            <w:hideMark/>
          </w:tcPr>
          <w:p w14:paraId="06C4327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0 (0)</w:t>
            </w:r>
          </w:p>
        </w:tc>
        <w:tc>
          <w:tcPr>
            <w:tcW w:w="1440" w:type="dxa"/>
            <w:tcBorders>
              <w:top w:val="nil"/>
              <w:left w:val="nil"/>
              <w:bottom w:val="single" w:sz="4" w:space="0" w:color="auto"/>
              <w:right w:val="single" w:sz="4" w:space="0" w:color="auto"/>
            </w:tcBorders>
            <w:shd w:val="clear" w:color="auto" w:fill="auto"/>
            <w:noWrap/>
            <w:vAlign w:val="bottom"/>
            <w:hideMark/>
          </w:tcPr>
          <w:p w14:paraId="2FCFD5D2"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(11.1)</w:t>
            </w:r>
          </w:p>
        </w:tc>
        <w:tc>
          <w:tcPr>
            <w:tcW w:w="1530" w:type="dxa"/>
            <w:tcBorders>
              <w:top w:val="nil"/>
              <w:left w:val="nil"/>
              <w:bottom w:val="single" w:sz="4" w:space="0" w:color="auto"/>
              <w:right w:val="single" w:sz="4" w:space="0" w:color="auto"/>
            </w:tcBorders>
            <w:shd w:val="clear" w:color="auto" w:fill="auto"/>
            <w:noWrap/>
            <w:vAlign w:val="bottom"/>
            <w:hideMark/>
          </w:tcPr>
          <w:p w14:paraId="534A98A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(22.2)</w:t>
            </w:r>
          </w:p>
        </w:tc>
        <w:tc>
          <w:tcPr>
            <w:tcW w:w="1530" w:type="dxa"/>
            <w:tcBorders>
              <w:top w:val="nil"/>
              <w:left w:val="nil"/>
              <w:bottom w:val="single" w:sz="4" w:space="0" w:color="auto"/>
              <w:right w:val="single" w:sz="4" w:space="0" w:color="auto"/>
            </w:tcBorders>
            <w:shd w:val="clear" w:color="auto" w:fill="auto"/>
            <w:noWrap/>
            <w:vAlign w:val="bottom"/>
            <w:hideMark/>
          </w:tcPr>
          <w:p w14:paraId="6FD0184F"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 (44.4)</w:t>
            </w:r>
          </w:p>
        </w:tc>
        <w:tc>
          <w:tcPr>
            <w:tcW w:w="1530" w:type="dxa"/>
            <w:tcBorders>
              <w:top w:val="nil"/>
              <w:left w:val="nil"/>
              <w:bottom w:val="single" w:sz="4" w:space="0" w:color="auto"/>
              <w:right w:val="single" w:sz="4" w:space="0" w:color="auto"/>
            </w:tcBorders>
            <w:shd w:val="clear" w:color="auto" w:fill="auto"/>
            <w:noWrap/>
            <w:vAlign w:val="bottom"/>
            <w:hideMark/>
          </w:tcPr>
          <w:p w14:paraId="1D418B62"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(22.2)</w:t>
            </w:r>
          </w:p>
        </w:tc>
      </w:tr>
      <w:tr w:rsidR="00442CC1" w:rsidRPr="0016235B" w14:paraId="63E5E104"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1739DA63"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North East</w:t>
            </w:r>
          </w:p>
        </w:tc>
        <w:tc>
          <w:tcPr>
            <w:tcW w:w="1448" w:type="dxa"/>
            <w:tcBorders>
              <w:top w:val="nil"/>
              <w:left w:val="nil"/>
              <w:bottom w:val="single" w:sz="4" w:space="0" w:color="auto"/>
              <w:right w:val="single" w:sz="4" w:space="0" w:color="auto"/>
            </w:tcBorders>
            <w:shd w:val="clear" w:color="auto" w:fill="auto"/>
            <w:noWrap/>
            <w:vAlign w:val="bottom"/>
            <w:hideMark/>
          </w:tcPr>
          <w:p w14:paraId="217BC4BC"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(25.0)</w:t>
            </w:r>
          </w:p>
        </w:tc>
        <w:tc>
          <w:tcPr>
            <w:tcW w:w="1440" w:type="dxa"/>
            <w:tcBorders>
              <w:top w:val="nil"/>
              <w:left w:val="nil"/>
              <w:bottom w:val="single" w:sz="4" w:space="0" w:color="auto"/>
              <w:right w:val="single" w:sz="4" w:space="0" w:color="auto"/>
            </w:tcBorders>
            <w:shd w:val="clear" w:color="auto" w:fill="auto"/>
            <w:noWrap/>
            <w:vAlign w:val="bottom"/>
            <w:hideMark/>
          </w:tcPr>
          <w:p w14:paraId="24371FB0"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0 (0.0)</w:t>
            </w:r>
          </w:p>
        </w:tc>
        <w:tc>
          <w:tcPr>
            <w:tcW w:w="1530" w:type="dxa"/>
            <w:tcBorders>
              <w:top w:val="nil"/>
              <w:left w:val="nil"/>
              <w:bottom w:val="single" w:sz="4" w:space="0" w:color="auto"/>
              <w:right w:val="single" w:sz="4" w:space="0" w:color="auto"/>
            </w:tcBorders>
            <w:shd w:val="clear" w:color="auto" w:fill="auto"/>
            <w:noWrap/>
            <w:vAlign w:val="bottom"/>
            <w:hideMark/>
          </w:tcPr>
          <w:p w14:paraId="71C77009"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(25.0)</w:t>
            </w:r>
          </w:p>
        </w:tc>
        <w:tc>
          <w:tcPr>
            <w:tcW w:w="1530" w:type="dxa"/>
            <w:tcBorders>
              <w:top w:val="nil"/>
              <w:left w:val="nil"/>
              <w:bottom w:val="single" w:sz="4" w:space="0" w:color="auto"/>
              <w:right w:val="single" w:sz="4" w:space="0" w:color="auto"/>
            </w:tcBorders>
            <w:shd w:val="clear" w:color="auto" w:fill="auto"/>
            <w:noWrap/>
            <w:vAlign w:val="bottom"/>
            <w:hideMark/>
          </w:tcPr>
          <w:p w14:paraId="0B2205F4"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(25.0)</w:t>
            </w:r>
          </w:p>
        </w:tc>
        <w:tc>
          <w:tcPr>
            <w:tcW w:w="1530" w:type="dxa"/>
            <w:tcBorders>
              <w:top w:val="nil"/>
              <w:left w:val="nil"/>
              <w:bottom w:val="single" w:sz="4" w:space="0" w:color="auto"/>
              <w:right w:val="single" w:sz="4" w:space="0" w:color="auto"/>
            </w:tcBorders>
            <w:shd w:val="clear" w:color="auto" w:fill="auto"/>
            <w:noWrap/>
            <w:vAlign w:val="bottom"/>
            <w:hideMark/>
          </w:tcPr>
          <w:p w14:paraId="334B1EB5"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(25.0)</w:t>
            </w:r>
          </w:p>
        </w:tc>
      </w:tr>
      <w:tr w:rsidR="00442CC1" w:rsidRPr="0016235B" w14:paraId="3541929E"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04F63970"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South West</w:t>
            </w:r>
          </w:p>
        </w:tc>
        <w:tc>
          <w:tcPr>
            <w:tcW w:w="1448" w:type="dxa"/>
            <w:tcBorders>
              <w:top w:val="nil"/>
              <w:left w:val="nil"/>
              <w:bottom w:val="single" w:sz="4" w:space="0" w:color="auto"/>
              <w:right w:val="single" w:sz="4" w:space="0" w:color="auto"/>
            </w:tcBorders>
            <w:shd w:val="clear" w:color="auto" w:fill="auto"/>
            <w:noWrap/>
            <w:vAlign w:val="bottom"/>
            <w:hideMark/>
          </w:tcPr>
          <w:p w14:paraId="75062F23"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(4.2)</w:t>
            </w:r>
          </w:p>
        </w:tc>
        <w:tc>
          <w:tcPr>
            <w:tcW w:w="1440" w:type="dxa"/>
            <w:tcBorders>
              <w:top w:val="nil"/>
              <w:left w:val="nil"/>
              <w:bottom w:val="single" w:sz="4" w:space="0" w:color="auto"/>
              <w:right w:val="single" w:sz="4" w:space="0" w:color="auto"/>
            </w:tcBorders>
            <w:shd w:val="clear" w:color="auto" w:fill="auto"/>
            <w:noWrap/>
            <w:vAlign w:val="bottom"/>
            <w:hideMark/>
          </w:tcPr>
          <w:p w14:paraId="094B4D6D"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 (16.7)</w:t>
            </w:r>
          </w:p>
        </w:tc>
        <w:tc>
          <w:tcPr>
            <w:tcW w:w="1530" w:type="dxa"/>
            <w:tcBorders>
              <w:top w:val="nil"/>
              <w:left w:val="nil"/>
              <w:bottom w:val="single" w:sz="4" w:space="0" w:color="auto"/>
              <w:right w:val="single" w:sz="4" w:space="0" w:color="auto"/>
            </w:tcBorders>
            <w:shd w:val="clear" w:color="auto" w:fill="auto"/>
            <w:noWrap/>
            <w:vAlign w:val="bottom"/>
            <w:hideMark/>
          </w:tcPr>
          <w:p w14:paraId="28E5FDE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6 (25.0)</w:t>
            </w:r>
          </w:p>
        </w:tc>
        <w:tc>
          <w:tcPr>
            <w:tcW w:w="1530" w:type="dxa"/>
            <w:tcBorders>
              <w:top w:val="nil"/>
              <w:left w:val="nil"/>
              <w:bottom w:val="single" w:sz="4" w:space="0" w:color="auto"/>
              <w:right w:val="single" w:sz="4" w:space="0" w:color="auto"/>
            </w:tcBorders>
            <w:shd w:val="clear" w:color="auto" w:fill="auto"/>
            <w:noWrap/>
            <w:vAlign w:val="bottom"/>
            <w:hideMark/>
          </w:tcPr>
          <w:p w14:paraId="1A496BD2"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7 (29.2)</w:t>
            </w:r>
          </w:p>
        </w:tc>
        <w:tc>
          <w:tcPr>
            <w:tcW w:w="1530" w:type="dxa"/>
            <w:tcBorders>
              <w:top w:val="nil"/>
              <w:left w:val="nil"/>
              <w:bottom w:val="single" w:sz="4" w:space="0" w:color="auto"/>
              <w:right w:val="single" w:sz="4" w:space="0" w:color="auto"/>
            </w:tcBorders>
            <w:shd w:val="clear" w:color="auto" w:fill="auto"/>
            <w:noWrap/>
            <w:vAlign w:val="bottom"/>
            <w:hideMark/>
          </w:tcPr>
          <w:p w14:paraId="0DBA0AEB"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6 (25.0)</w:t>
            </w:r>
          </w:p>
        </w:tc>
      </w:tr>
      <w:tr w:rsidR="00442CC1" w:rsidRPr="0016235B" w14:paraId="33FEB549"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2FA2888C" w14:textId="77777777" w:rsidR="00442CC1" w:rsidRPr="0016235B" w:rsidRDefault="00442CC1" w:rsidP="00442CC1">
            <w:pPr>
              <w:spacing w:after="0" w:line="240" w:lineRule="auto"/>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West Nile</w:t>
            </w:r>
          </w:p>
        </w:tc>
        <w:tc>
          <w:tcPr>
            <w:tcW w:w="1448" w:type="dxa"/>
            <w:tcBorders>
              <w:top w:val="nil"/>
              <w:left w:val="nil"/>
              <w:bottom w:val="single" w:sz="4" w:space="0" w:color="auto"/>
              <w:right w:val="single" w:sz="4" w:space="0" w:color="auto"/>
            </w:tcBorders>
            <w:shd w:val="clear" w:color="auto" w:fill="auto"/>
            <w:noWrap/>
            <w:vAlign w:val="bottom"/>
            <w:hideMark/>
          </w:tcPr>
          <w:p w14:paraId="095D31D6"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1 (7.7)</w:t>
            </w:r>
          </w:p>
        </w:tc>
        <w:tc>
          <w:tcPr>
            <w:tcW w:w="1440" w:type="dxa"/>
            <w:tcBorders>
              <w:top w:val="nil"/>
              <w:left w:val="nil"/>
              <w:bottom w:val="single" w:sz="4" w:space="0" w:color="auto"/>
              <w:right w:val="single" w:sz="4" w:space="0" w:color="auto"/>
            </w:tcBorders>
            <w:shd w:val="clear" w:color="auto" w:fill="auto"/>
            <w:noWrap/>
            <w:vAlign w:val="bottom"/>
            <w:hideMark/>
          </w:tcPr>
          <w:p w14:paraId="574DA373"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2 (15.4)</w:t>
            </w:r>
          </w:p>
        </w:tc>
        <w:tc>
          <w:tcPr>
            <w:tcW w:w="1530" w:type="dxa"/>
            <w:tcBorders>
              <w:top w:val="nil"/>
              <w:left w:val="nil"/>
              <w:bottom w:val="single" w:sz="4" w:space="0" w:color="auto"/>
              <w:right w:val="single" w:sz="4" w:space="0" w:color="auto"/>
            </w:tcBorders>
            <w:shd w:val="clear" w:color="auto" w:fill="auto"/>
            <w:noWrap/>
            <w:vAlign w:val="bottom"/>
            <w:hideMark/>
          </w:tcPr>
          <w:p w14:paraId="58846245"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 (23.1)</w:t>
            </w:r>
          </w:p>
        </w:tc>
        <w:tc>
          <w:tcPr>
            <w:tcW w:w="1530" w:type="dxa"/>
            <w:tcBorders>
              <w:top w:val="nil"/>
              <w:left w:val="nil"/>
              <w:bottom w:val="single" w:sz="4" w:space="0" w:color="auto"/>
              <w:right w:val="single" w:sz="4" w:space="0" w:color="auto"/>
            </w:tcBorders>
            <w:shd w:val="clear" w:color="auto" w:fill="auto"/>
            <w:noWrap/>
            <w:vAlign w:val="bottom"/>
            <w:hideMark/>
          </w:tcPr>
          <w:p w14:paraId="69BAD5B1"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4 (30.8)</w:t>
            </w:r>
          </w:p>
        </w:tc>
        <w:tc>
          <w:tcPr>
            <w:tcW w:w="1530" w:type="dxa"/>
            <w:tcBorders>
              <w:top w:val="nil"/>
              <w:left w:val="nil"/>
              <w:bottom w:val="single" w:sz="4" w:space="0" w:color="auto"/>
              <w:right w:val="single" w:sz="4" w:space="0" w:color="auto"/>
            </w:tcBorders>
            <w:shd w:val="clear" w:color="auto" w:fill="auto"/>
            <w:noWrap/>
            <w:vAlign w:val="bottom"/>
            <w:hideMark/>
          </w:tcPr>
          <w:p w14:paraId="3FA4E555" w14:textId="77777777" w:rsidR="00442CC1" w:rsidRPr="0016235B" w:rsidRDefault="00442CC1" w:rsidP="00442CC1">
            <w:pPr>
              <w:spacing w:after="0" w:line="240" w:lineRule="auto"/>
              <w:jc w:val="right"/>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3 (23.1)</w:t>
            </w:r>
          </w:p>
        </w:tc>
      </w:tr>
      <w:tr w:rsidR="00442CC1" w:rsidRPr="0016235B" w14:paraId="5EAE964E" w14:textId="77777777" w:rsidTr="00442CC1">
        <w:trPr>
          <w:trHeight w:val="282"/>
        </w:trPr>
        <w:tc>
          <w:tcPr>
            <w:tcW w:w="2327" w:type="dxa"/>
            <w:tcBorders>
              <w:top w:val="nil"/>
              <w:left w:val="single" w:sz="4" w:space="0" w:color="auto"/>
              <w:bottom w:val="single" w:sz="4" w:space="0" w:color="auto"/>
              <w:right w:val="single" w:sz="4" w:space="0" w:color="auto"/>
            </w:tcBorders>
            <w:shd w:val="clear" w:color="auto" w:fill="auto"/>
            <w:noWrap/>
            <w:vAlign w:val="bottom"/>
            <w:hideMark/>
          </w:tcPr>
          <w:p w14:paraId="4D7D8F54" w14:textId="77777777" w:rsidR="00442CC1" w:rsidRPr="0016235B" w:rsidRDefault="00442CC1" w:rsidP="00442CC1">
            <w:pPr>
              <w:spacing w:after="0" w:line="240" w:lineRule="auto"/>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Total</w:t>
            </w:r>
          </w:p>
        </w:tc>
        <w:tc>
          <w:tcPr>
            <w:tcW w:w="1448" w:type="dxa"/>
            <w:tcBorders>
              <w:top w:val="nil"/>
              <w:left w:val="nil"/>
              <w:bottom w:val="single" w:sz="4" w:space="0" w:color="auto"/>
              <w:right w:val="single" w:sz="4" w:space="0" w:color="auto"/>
            </w:tcBorders>
            <w:shd w:val="clear" w:color="auto" w:fill="auto"/>
            <w:noWrap/>
            <w:vAlign w:val="bottom"/>
            <w:hideMark/>
          </w:tcPr>
          <w:p w14:paraId="64F0733D"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11 (6.6)</w:t>
            </w:r>
          </w:p>
        </w:tc>
        <w:tc>
          <w:tcPr>
            <w:tcW w:w="1440" w:type="dxa"/>
            <w:tcBorders>
              <w:top w:val="nil"/>
              <w:left w:val="nil"/>
              <w:bottom w:val="single" w:sz="4" w:space="0" w:color="auto"/>
              <w:right w:val="single" w:sz="4" w:space="0" w:color="auto"/>
            </w:tcBorders>
            <w:shd w:val="clear" w:color="auto" w:fill="auto"/>
            <w:noWrap/>
            <w:vAlign w:val="bottom"/>
            <w:hideMark/>
          </w:tcPr>
          <w:p w14:paraId="7781D04F"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25 (15.1)</w:t>
            </w:r>
          </w:p>
        </w:tc>
        <w:tc>
          <w:tcPr>
            <w:tcW w:w="1530" w:type="dxa"/>
            <w:tcBorders>
              <w:top w:val="nil"/>
              <w:left w:val="nil"/>
              <w:bottom w:val="single" w:sz="4" w:space="0" w:color="auto"/>
              <w:right w:val="single" w:sz="4" w:space="0" w:color="auto"/>
            </w:tcBorders>
            <w:shd w:val="clear" w:color="auto" w:fill="auto"/>
            <w:noWrap/>
            <w:vAlign w:val="bottom"/>
            <w:hideMark/>
          </w:tcPr>
          <w:p w14:paraId="4A216F25"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26 (15.7)</w:t>
            </w:r>
          </w:p>
        </w:tc>
        <w:tc>
          <w:tcPr>
            <w:tcW w:w="1530" w:type="dxa"/>
            <w:tcBorders>
              <w:top w:val="nil"/>
              <w:left w:val="nil"/>
              <w:bottom w:val="single" w:sz="4" w:space="0" w:color="auto"/>
              <w:right w:val="single" w:sz="4" w:space="0" w:color="auto"/>
            </w:tcBorders>
            <w:shd w:val="clear" w:color="auto" w:fill="auto"/>
            <w:noWrap/>
            <w:vAlign w:val="bottom"/>
            <w:hideMark/>
          </w:tcPr>
          <w:p w14:paraId="7FB1AF6F"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46 (27.7)</w:t>
            </w:r>
          </w:p>
        </w:tc>
        <w:tc>
          <w:tcPr>
            <w:tcW w:w="1530" w:type="dxa"/>
            <w:tcBorders>
              <w:top w:val="nil"/>
              <w:left w:val="nil"/>
              <w:bottom w:val="single" w:sz="4" w:space="0" w:color="auto"/>
              <w:right w:val="single" w:sz="4" w:space="0" w:color="auto"/>
            </w:tcBorders>
            <w:shd w:val="clear" w:color="auto" w:fill="auto"/>
            <w:noWrap/>
            <w:vAlign w:val="bottom"/>
            <w:hideMark/>
          </w:tcPr>
          <w:p w14:paraId="5EA44316" w14:textId="77777777" w:rsidR="00442CC1" w:rsidRPr="0016235B" w:rsidRDefault="00442CC1" w:rsidP="00442CC1">
            <w:pPr>
              <w:spacing w:after="0" w:line="240" w:lineRule="auto"/>
              <w:jc w:val="right"/>
              <w:rPr>
                <w:rFonts w:ascii="Candara" w:eastAsia="Times New Roman" w:hAnsi="Candara" w:cs="Times New Roman"/>
                <w:b/>
                <w:bCs/>
                <w:color w:val="000000"/>
                <w:sz w:val="24"/>
                <w:szCs w:val="24"/>
              </w:rPr>
            </w:pPr>
            <w:r w:rsidRPr="0016235B">
              <w:rPr>
                <w:rFonts w:ascii="Candara" w:eastAsia="Times New Roman" w:hAnsi="Candara" w:cs="Times New Roman"/>
                <w:b/>
                <w:bCs/>
                <w:color w:val="000000"/>
                <w:sz w:val="24"/>
                <w:szCs w:val="24"/>
              </w:rPr>
              <w:t>58 (34.9)</w:t>
            </w:r>
          </w:p>
        </w:tc>
      </w:tr>
    </w:tbl>
    <w:p w14:paraId="578FE5F4" w14:textId="77777777" w:rsidR="00442CC1" w:rsidRPr="0016235B" w:rsidRDefault="00442CC1" w:rsidP="00815396">
      <w:pPr>
        <w:tabs>
          <w:tab w:val="left" w:pos="8400"/>
        </w:tabs>
        <w:rPr>
          <w:rFonts w:ascii="Candara" w:hAnsi="Candara"/>
          <w:sz w:val="24"/>
          <w:szCs w:val="24"/>
        </w:rPr>
      </w:pPr>
    </w:p>
    <w:p w14:paraId="2B027687" w14:textId="77777777" w:rsidR="00442CC1" w:rsidRPr="0016235B" w:rsidRDefault="00442CC1" w:rsidP="00815396">
      <w:pPr>
        <w:tabs>
          <w:tab w:val="left" w:pos="8400"/>
        </w:tabs>
        <w:rPr>
          <w:rFonts w:ascii="Candara" w:hAnsi="Candara"/>
          <w:sz w:val="24"/>
          <w:szCs w:val="24"/>
        </w:rPr>
      </w:pPr>
    </w:p>
    <w:p w14:paraId="1889DA75" w14:textId="77777777" w:rsidR="00442CC1" w:rsidRPr="0016235B" w:rsidRDefault="00442CC1" w:rsidP="00815396">
      <w:pPr>
        <w:tabs>
          <w:tab w:val="left" w:pos="8400"/>
        </w:tabs>
        <w:rPr>
          <w:rFonts w:ascii="Candara" w:hAnsi="Candara"/>
          <w:sz w:val="24"/>
          <w:szCs w:val="24"/>
        </w:rPr>
      </w:pPr>
    </w:p>
    <w:p w14:paraId="6FACE9BD" w14:textId="509429AF" w:rsidR="00244BC6" w:rsidRPr="0016235B" w:rsidRDefault="00244BC6">
      <w:pPr>
        <w:rPr>
          <w:rFonts w:ascii="Candara" w:hAnsi="Candara"/>
          <w:sz w:val="24"/>
          <w:szCs w:val="24"/>
        </w:rPr>
      </w:pPr>
      <w:r w:rsidRPr="0016235B">
        <w:rPr>
          <w:rFonts w:ascii="Candara" w:hAnsi="Candara"/>
          <w:sz w:val="24"/>
          <w:szCs w:val="24"/>
        </w:rPr>
        <w:br w:type="page"/>
      </w:r>
    </w:p>
    <w:p w14:paraId="5F0FEE85" w14:textId="07A0D812" w:rsidR="00442CC1" w:rsidRPr="0016235B" w:rsidRDefault="00244BC6" w:rsidP="005722F2">
      <w:pPr>
        <w:pStyle w:val="Heading2"/>
        <w:numPr>
          <w:ilvl w:val="1"/>
          <w:numId w:val="25"/>
        </w:numPr>
        <w:rPr>
          <w:rFonts w:ascii="Candara" w:hAnsi="Candara"/>
          <w:b/>
          <w:sz w:val="28"/>
          <w:szCs w:val="28"/>
        </w:rPr>
      </w:pPr>
      <w:bookmarkStart w:id="71" w:name="_Toc11494076"/>
      <w:r w:rsidRPr="0016235B">
        <w:rPr>
          <w:rFonts w:ascii="Candara" w:hAnsi="Candara"/>
          <w:b/>
          <w:sz w:val="28"/>
          <w:szCs w:val="28"/>
        </w:rPr>
        <w:t>General hospitals and HC IVs which do not offer ANC</w:t>
      </w:r>
      <w:bookmarkEnd w:id="71"/>
    </w:p>
    <w:tbl>
      <w:tblPr>
        <w:tblStyle w:val="PlainTable2"/>
        <w:tblW w:w="9720" w:type="dxa"/>
        <w:tblLook w:val="04A0" w:firstRow="1" w:lastRow="0" w:firstColumn="1" w:lastColumn="0" w:noHBand="0" w:noVBand="1"/>
      </w:tblPr>
      <w:tblGrid>
        <w:gridCol w:w="4050"/>
        <w:gridCol w:w="1620"/>
        <w:gridCol w:w="4050"/>
      </w:tblGrid>
      <w:tr w:rsidR="00244BC6" w:rsidRPr="0016235B" w14:paraId="172202F7" w14:textId="77777777" w:rsidTr="0000699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21515A20" w14:textId="77777777" w:rsidR="00244BC6" w:rsidRPr="0016235B" w:rsidRDefault="00244BC6" w:rsidP="00244BC6">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620" w:type="dxa"/>
            <w:noWrap/>
            <w:hideMark/>
          </w:tcPr>
          <w:p w14:paraId="48FB361F" w14:textId="77777777" w:rsidR="00244BC6" w:rsidRPr="0016235B" w:rsidRDefault="00244BC6" w:rsidP="00244BC6">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4050" w:type="dxa"/>
            <w:noWrap/>
            <w:hideMark/>
          </w:tcPr>
          <w:p w14:paraId="68581B73" w14:textId="77777777" w:rsidR="00244BC6" w:rsidRPr="0016235B" w:rsidRDefault="00244BC6" w:rsidP="00244BC6">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244BC6" w:rsidRPr="0016235B" w14:paraId="55303E22" w14:textId="77777777" w:rsidTr="000069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0ED87EB2" w14:textId="77777777" w:rsidR="00244BC6" w:rsidRPr="0016235B" w:rsidRDefault="00244BC6" w:rsidP="00244BC6">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Makerere University Hospital</w:t>
            </w:r>
          </w:p>
        </w:tc>
        <w:tc>
          <w:tcPr>
            <w:tcW w:w="1620" w:type="dxa"/>
            <w:noWrap/>
            <w:hideMark/>
          </w:tcPr>
          <w:p w14:paraId="228138A6" w14:textId="77777777" w:rsidR="00244BC6" w:rsidRPr="0016235B" w:rsidRDefault="00244BC6" w:rsidP="00244BC6">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050" w:type="dxa"/>
            <w:noWrap/>
            <w:hideMark/>
          </w:tcPr>
          <w:p w14:paraId="526704CE" w14:textId="77777777" w:rsidR="00244BC6" w:rsidRPr="0016235B" w:rsidRDefault="00244BC6" w:rsidP="00244BC6">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 Government/Public</w:t>
            </w:r>
          </w:p>
        </w:tc>
      </w:tr>
      <w:tr w:rsidR="00244BC6" w:rsidRPr="0016235B" w14:paraId="3B2667EA" w14:textId="77777777" w:rsidTr="00006992">
        <w:trPr>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36CC7C63" w14:textId="77777777" w:rsidR="00244BC6" w:rsidRPr="0016235B" w:rsidRDefault="00244BC6" w:rsidP="00244BC6">
            <w:pPr>
              <w:rPr>
                <w:rFonts w:ascii="Candara" w:eastAsia="Times New Roman" w:hAnsi="Candara" w:cs="Times New Roman"/>
                <w:b w:val="0"/>
                <w:color w:val="000000"/>
                <w:sz w:val="24"/>
                <w:szCs w:val="24"/>
              </w:rPr>
            </w:pPr>
            <w:proofErr w:type="gramStart"/>
            <w:r w:rsidRPr="0016235B">
              <w:rPr>
                <w:rFonts w:ascii="Candara" w:eastAsia="Times New Roman" w:hAnsi="Candara" w:cs="Times New Roman"/>
                <w:b w:val="0"/>
                <w:color w:val="000000"/>
                <w:sz w:val="24"/>
                <w:szCs w:val="24"/>
              </w:rPr>
              <w:t>Rhema  General</w:t>
            </w:r>
            <w:proofErr w:type="gramEnd"/>
            <w:r w:rsidRPr="0016235B">
              <w:rPr>
                <w:rFonts w:ascii="Candara" w:eastAsia="Times New Roman" w:hAnsi="Candara" w:cs="Times New Roman"/>
                <w:b w:val="0"/>
                <w:color w:val="000000"/>
                <w:sz w:val="24"/>
                <w:szCs w:val="24"/>
              </w:rPr>
              <w:t xml:space="preserve"> Hospital</w:t>
            </w:r>
          </w:p>
        </w:tc>
        <w:tc>
          <w:tcPr>
            <w:tcW w:w="1620" w:type="dxa"/>
            <w:noWrap/>
            <w:hideMark/>
          </w:tcPr>
          <w:p w14:paraId="5DCCBA3B" w14:textId="77777777" w:rsidR="00244BC6" w:rsidRPr="0016235B" w:rsidRDefault="00244BC6" w:rsidP="00244BC6">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Arua</w:t>
            </w:r>
            <w:proofErr w:type="spellEnd"/>
          </w:p>
        </w:tc>
        <w:tc>
          <w:tcPr>
            <w:tcW w:w="4050" w:type="dxa"/>
            <w:noWrap/>
            <w:hideMark/>
          </w:tcPr>
          <w:p w14:paraId="1211423A" w14:textId="77777777" w:rsidR="00244BC6" w:rsidRPr="0016235B" w:rsidRDefault="00244BC6" w:rsidP="00244BC6">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006992" w:rsidRPr="0016235B" w14:paraId="2465AAFD" w14:textId="77777777" w:rsidTr="000069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292CDF17" w14:textId="77777777" w:rsidR="00006992" w:rsidRPr="0016235B" w:rsidRDefault="00006992">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Adumi</w:t>
            </w:r>
            <w:proofErr w:type="spellEnd"/>
            <w:r w:rsidRPr="0016235B">
              <w:rPr>
                <w:rFonts w:ascii="Candara" w:eastAsia="Times New Roman" w:hAnsi="Candara" w:cs="Times New Roman"/>
                <w:b w:val="0"/>
                <w:color w:val="000000"/>
                <w:sz w:val="24"/>
                <w:szCs w:val="24"/>
              </w:rPr>
              <w:t xml:space="preserve"> Health Centre IV</w:t>
            </w:r>
          </w:p>
        </w:tc>
        <w:tc>
          <w:tcPr>
            <w:tcW w:w="1620" w:type="dxa"/>
            <w:noWrap/>
            <w:hideMark/>
          </w:tcPr>
          <w:p w14:paraId="39774455" w14:textId="77777777" w:rsidR="00006992" w:rsidRPr="0016235B" w:rsidRDefault="00006992">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b/>
                <w:color w:val="000000"/>
                <w:sz w:val="24"/>
                <w:szCs w:val="24"/>
              </w:rPr>
            </w:pPr>
            <w:proofErr w:type="spellStart"/>
            <w:r w:rsidRPr="0016235B">
              <w:rPr>
                <w:rFonts w:ascii="Candara" w:eastAsia="Times New Roman" w:hAnsi="Candara" w:cs="Times New Roman"/>
                <w:color w:val="000000"/>
                <w:sz w:val="24"/>
                <w:szCs w:val="24"/>
              </w:rPr>
              <w:t>Arua</w:t>
            </w:r>
            <w:proofErr w:type="spellEnd"/>
          </w:p>
        </w:tc>
        <w:tc>
          <w:tcPr>
            <w:tcW w:w="4050" w:type="dxa"/>
            <w:noWrap/>
            <w:hideMark/>
          </w:tcPr>
          <w:p w14:paraId="2F853597" w14:textId="77777777" w:rsidR="00006992" w:rsidRPr="0016235B" w:rsidRDefault="00006992">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Government/Public</w:t>
            </w:r>
          </w:p>
        </w:tc>
      </w:tr>
    </w:tbl>
    <w:p w14:paraId="145CA466" w14:textId="77777777" w:rsidR="00244BC6" w:rsidRPr="0016235B" w:rsidRDefault="00244BC6" w:rsidP="00815396">
      <w:pPr>
        <w:tabs>
          <w:tab w:val="left" w:pos="8400"/>
        </w:tabs>
        <w:rPr>
          <w:rFonts w:ascii="Candara" w:hAnsi="Candara"/>
          <w:sz w:val="24"/>
          <w:szCs w:val="24"/>
        </w:rPr>
      </w:pPr>
    </w:p>
    <w:p w14:paraId="27D85D8A" w14:textId="698D695D" w:rsidR="00891A61" w:rsidRPr="0016235B" w:rsidRDefault="00891A61" w:rsidP="005722F2">
      <w:pPr>
        <w:pStyle w:val="Heading2"/>
        <w:numPr>
          <w:ilvl w:val="1"/>
          <w:numId w:val="25"/>
        </w:numPr>
        <w:rPr>
          <w:rFonts w:ascii="Candara" w:hAnsi="Candara"/>
          <w:b/>
          <w:sz w:val="28"/>
          <w:szCs w:val="28"/>
        </w:rPr>
      </w:pPr>
      <w:bookmarkStart w:id="72" w:name="_Toc11494077"/>
      <w:r w:rsidRPr="0016235B">
        <w:rPr>
          <w:rFonts w:ascii="Candara" w:hAnsi="Candara"/>
          <w:b/>
          <w:sz w:val="28"/>
          <w:szCs w:val="28"/>
        </w:rPr>
        <w:t>RRH</w:t>
      </w:r>
      <w:r w:rsidR="0084048E" w:rsidRPr="0016235B">
        <w:rPr>
          <w:rFonts w:ascii="Candara" w:hAnsi="Candara"/>
          <w:b/>
          <w:sz w:val="28"/>
          <w:szCs w:val="28"/>
        </w:rPr>
        <w:t>s</w:t>
      </w:r>
      <w:r w:rsidRPr="0016235B">
        <w:rPr>
          <w:rFonts w:ascii="Candara" w:hAnsi="Candara"/>
          <w:b/>
          <w:sz w:val="28"/>
          <w:szCs w:val="28"/>
        </w:rPr>
        <w:t>, G</w:t>
      </w:r>
      <w:r w:rsidR="0084048E" w:rsidRPr="0016235B">
        <w:rPr>
          <w:rFonts w:ascii="Candara" w:hAnsi="Candara"/>
          <w:b/>
          <w:sz w:val="28"/>
          <w:szCs w:val="28"/>
        </w:rPr>
        <w:t xml:space="preserve">eneral </w:t>
      </w:r>
      <w:r w:rsidRPr="0016235B">
        <w:rPr>
          <w:rFonts w:ascii="Candara" w:hAnsi="Candara"/>
          <w:b/>
          <w:sz w:val="28"/>
          <w:szCs w:val="28"/>
        </w:rPr>
        <w:t>H</w:t>
      </w:r>
      <w:r w:rsidR="0084048E" w:rsidRPr="0016235B">
        <w:rPr>
          <w:rFonts w:ascii="Candara" w:hAnsi="Candara"/>
          <w:b/>
          <w:sz w:val="28"/>
          <w:szCs w:val="28"/>
        </w:rPr>
        <w:t>ospitals</w:t>
      </w:r>
      <w:r w:rsidRPr="0016235B">
        <w:rPr>
          <w:rFonts w:ascii="Candara" w:hAnsi="Candara"/>
          <w:b/>
          <w:sz w:val="28"/>
          <w:szCs w:val="28"/>
        </w:rPr>
        <w:t xml:space="preserve"> and HC IVs which do not offer caesarean section</w:t>
      </w:r>
      <w:bookmarkEnd w:id="72"/>
    </w:p>
    <w:tbl>
      <w:tblPr>
        <w:tblStyle w:val="PlainTable2"/>
        <w:tblW w:w="10040" w:type="dxa"/>
        <w:tblLook w:val="04A0" w:firstRow="1" w:lastRow="0" w:firstColumn="1" w:lastColumn="0" w:noHBand="0" w:noVBand="1"/>
      </w:tblPr>
      <w:tblGrid>
        <w:gridCol w:w="4860"/>
        <w:gridCol w:w="1350"/>
        <w:gridCol w:w="3830"/>
      </w:tblGrid>
      <w:tr w:rsidR="00891A61" w:rsidRPr="0016235B" w14:paraId="18F800AF" w14:textId="77777777" w:rsidTr="00891A6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3ABAA771" w14:textId="77777777" w:rsidR="00891A61" w:rsidRPr="0016235B" w:rsidRDefault="00891A61" w:rsidP="00891A61">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350" w:type="dxa"/>
            <w:noWrap/>
            <w:hideMark/>
          </w:tcPr>
          <w:p w14:paraId="25B66654"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3830" w:type="dxa"/>
            <w:noWrap/>
            <w:hideMark/>
          </w:tcPr>
          <w:p w14:paraId="61807AE8"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891A61" w:rsidRPr="0016235B" w14:paraId="789B7D5E"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7D3EEA59"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Rubongi</w:t>
            </w:r>
            <w:proofErr w:type="spellEnd"/>
            <w:r w:rsidRPr="0016235B">
              <w:rPr>
                <w:rFonts w:ascii="Candara" w:eastAsia="Times New Roman" w:hAnsi="Candara" w:cs="Times New Roman"/>
                <w:b w:val="0"/>
                <w:color w:val="000000"/>
                <w:sz w:val="24"/>
                <w:szCs w:val="24"/>
              </w:rPr>
              <w:t xml:space="preserve"> Military General Hospital</w:t>
            </w:r>
          </w:p>
        </w:tc>
        <w:tc>
          <w:tcPr>
            <w:tcW w:w="1350" w:type="dxa"/>
            <w:noWrap/>
            <w:hideMark/>
          </w:tcPr>
          <w:p w14:paraId="71B1620C"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Tororo</w:t>
            </w:r>
          </w:p>
        </w:tc>
        <w:tc>
          <w:tcPr>
            <w:tcW w:w="3830" w:type="dxa"/>
            <w:noWrap/>
            <w:hideMark/>
          </w:tcPr>
          <w:p w14:paraId="3D0B612B"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0C869098"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00257BAF"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Jrc</w:t>
            </w:r>
            <w:proofErr w:type="spellEnd"/>
            <w:r w:rsidRPr="0016235B">
              <w:rPr>
                <w:rFonts w:ascii="Candara" w:eastAsia="Times New Roman" w:hAnsi="Candara" w:cs="Times New Roman"/>
                <w:b w:val="0"/>
                <w:color w:val="000000"/>
                <w:sz w:val="24"/>
                <w:szCs w:val="24"/>
              </w:rPr>
              <w:t xml:space="preserve"> Medical Chambers General Hospital</w:t>
            </w:r>
          </w:p>
        </w:tc>
        <w:tc>
          <w:tcPr>
            <w:tcW w:w="1350" w:type="dxa"/>
            <w:noWrap/>
            <w:hideMark/>
          </w:tcPr>
          <w:p w14:paraId="390697DB"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Tororo</w:t>
            </w:r>
          </w:p>
        </w:tc>
        <w:tc>
          <w:tcPr>
            <w:tcW w:w="3830" w:type="dxa"/>
            <w:noWrap/>
            <w:hideMark/>
          </w:tcPr>
          <w:p w14:paraId="4CFC77A3"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w:t>
            </w:r>
            <w:proofErr w:type="gramStart"/>
            <w:r w:rsidRPr="0016235B">
              <w:rPr>
                <w:rFonts w:ascii="Candara" w:eastAsia="Times New Roman" w:hAnsi="Candara" w:cs="Times New Roman"/>
                <w:color w:val="000000"/>
                <w:sz w:val="24"/>
                <w:szCs w:val="24"/>
              </w:rPr>
              <w:t>Practitioner(</w:t>
            </w:r>
            <w:proofErr w:type="gramEnd"/>
            <w:r w:rsidRPr="0016235B">
              <w:rPr>
                <w:rFonts w:ascii="Candara" w:eastAsia="Times New Roman" w:hAnsi="Candara" w:cs="Times New Roman"/>
                <w:color w:val="000000"/>
                <w:sz w:val="24"/>
                <w:szCs w:val="24"/>
              </w:rPr>
              <w:t xml:space="preserve">PHP) </w:t>
            </w:r>
          </w:p>
        </w:tc>
      </w:tr>
      <w:tr w:rsidR="00891A61" w:rsidRPr="0016235B" w14:paraId="0EED9C40"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05F32EB6" w14:textId="77777777" w:rsidR="00891A61" w:rsidRPr="0016235B" w:rsidRDefault="00891A61" w:rsidP="00891A61">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Bugamba</w:t>
            </w:r>
            <w:proofErr w:type="spellEnd"/>
            <w:r w:rsidRPr="0016235B">
              <w:rPr>
                <w:rFonts w:ascii="Candara" w:eastAsia="Times New Roman" w:hAnsi="Candara" w:cs="Times New Roman"/>
                <w:b w:val="0"/>
                <w:color w:val="000000"/>
                <w:sz w:val="24"/>
                <w:szCs w:val="24"/>
              </w:rPr>
              <w:t xml:space="preserve">  Health</w:t>
            </w:r>
            <w:proofErr w:type="gramEnd"/>
            <w:r w:rsidRPr="0016235B">
              <w:rPr>
                <w:rFonts w:ascii="Candara" w:eastAsia="Times New Roman" w:hAnsi="Candara" w:cs="Times New Roman"/>
                <w:b w:val="0"/>
                <w:color w:val="000000"/>
                <w:sz w:val="24"/>
                <w:szCs w:val="24"/>
              </w:rPr>
              <w:t xml:space="preserve"> Centre IV</w:t>
            </w:r>
          </w:p>
        </w:tc>
        <w:tc>
          <w:tcPr>
            <w:tcW w:w="1350" w:type="dxa"/>
            <w:noWrap/>
            <w:hideMark/>
          </w:tcPr>
          <w:p w14:paraId="5D53AC25"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Mbarara   </w:t>
            </w:r>
          </w:p>
        </w:tc>
        <w:tc>
          <w:tcPr>
            <w:tcW w:w="3830" w:type="dxa"/>
            <w:noWrap/>
            <w:hideMark/>
          </w:tcPr>
          <w:p w14:paraId="6DFFF1D6"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07347731"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4C900051"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Kaproron</w:t>
            </w:r>
            <w:proofErr w:type="spellEnd"/>
            <w:r w:rsidRPr="0016235B">
              <w:rPr>
                <w:rFonts w:ascii="Candara" w:eastAsia="Times New Roman" w:hAnsi="Candara" w:cs="Times New Roman"/>
                <w:b w:val="0"/>
                <w:color w:val="000000"/>
                <w:sz w:val="24"/>
                <w:szCs w:val="24"/>
              </w:rPr>
              <w:t xml:space="preserve"> Health Centre IV </w:t>
            </w:r>
          </w:p>
        </w:tc>
        <w:tc>
          <w:tcPr>
            <w:tcW w:w="1350" w:type="dxa"/>
            <w:noWrap/>
            <w:hideMark/>
          </w:tcPr>
          <w:p w14:paraId="4B68FEB0"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Kween   </w:t>
            </w:r>
          </w:p>
        </w:tc>
        <w:tc>
          <w:tcPr>
            <w:tcW w:w="3830" w:type="dxa"/>
            <w:noWrap/>
            <w:hideMark/>
          </w:tcPr>
          <w:p w14:paraId="15FF88EC"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3DB95DD3"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02CD41C9"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Mbarara Municipal Council Health Centre IV </w:t>
            </w:r>
          </w:p>
        </w:tc>
        <w:tc>
          <w:tcPr>
            <w:tcW w:w="1350" w:type="dxa"/>
            <w:noWrap/>
            <w:hideMark/>
          </w:tcPr>
          <w:p w14:paraId="17616B3A"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Mbarara</w:t>
            </w:r>
          </w:p>
        </w:tc>
        <w:tc>
          <w:tcPr>
            <w:tcW w:w="3830" w:type="dxa"/>
            <w:noWrap/>
            <w:hideMark/>
          </w:tcPr>
          <w:p w14:paraId="0F5B5430"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4B2C9920"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0B513DD3"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Adumi</w:t>
            </w:r>
            <w:proofErr w:type="spellEnd"/>
            <w:r w:rsidRPr="0016235B">
              <w:rPr>
                <w:rFonts w:ascii="Candara" w:eastAsia="Times New Roman" w:hAnsi="Candara" w:cs="Times New Roman"/>
                <w:b w:val="0"/>
                <w:color w:val="000000"/>
                <w:sz w:val="24"/>
                <w:szCs w:val="24"/>
              </w:rPr>
              <w:t xml:space="preserve"> Health Centre IV </w:t>
            </w:r>
          </w:p>
        </w:tc>
        <w:tc>
          <w:tcPr>
            <w:tcW w:w="1350" w:type="dxa"/>
            <w:noWrap/>
            <w:hideMark/>
          </w:tcPr>
          <w:p w14:paraId="46BD76C8"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Arua</w:t>
            </w:r>
            <w:proofErr w:type="spellEnd"/>
            <w:r w:rsidRPr="0016235B">
              <w:rPr>
                <w:rFonts w:ascii="Candara" w:eastAsia="Times New Roman" w:hAnsi="Candara" w:cs="Times New Roman"/>
                <w:color w:val="000000"/>
                <w:sz w:val="24"/>
                <w:szCs w:val="24"/>
              </w:rPr>
              <w:t xml:space="preserve">  </w:t>
            </w:r>
          </w:p>
        </w:tc>
        <w:tc>
          <w:tcPr>
            <w:tcW w:w="3830" w:type="dxa"/>
            <w:noWrap/>
            <w:hideMark/>
          </w:tcPr>
          <w:p w14:paraId="6D82BA29"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6D1CA5B6"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08FB3F90"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Amach</w:t>
            </w:r>
            <w:proofErr w:type="spellEnd"/>
            <w:r w:rsidRPr="0016235B">
              <w:rPr>
                <w:rFonts w:ascii="Candara" w:eastAsia="Times New Roman" w:hAnsi="Candara" w:cs="Times New Roman"/>
                <w:b w:val="0"/>
                <w:color w:val="000000"/>
                <w:sz w:val="24"/>
                <w:szCs w:val="24"/>
              </w:rPr>
              <w:t xml:space="preserve"> Health Centre IV </w:t>
            </w:r>
          </w:p>
        </w:tc>
        <w:tc>
          <w:tcPr>
            <w:tcW w:w="1350" w:type="dxa"/>
            <w:noWrap/>
            <w:hideMark/>
          </w:tcPr>
          <w:p w14:paraId="29C2301C"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Lira </w:t>
            </w:r>
          </w:p>
        </w:tc>
        <w:tc>
          <w:tcPr>
            <w:tcW w:w="3830" w:type="dxa"/>
            <w:noWrap/>
            <w:hideMark/>
          </w:tcPr>
          <w:p w14:paraId="19BC6FE0"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4689EAB3"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7F0E1FF0"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Bukedea</w:t>
            </w:r>
            <w:proofErr w:type="spellEnd"/>
            <w:r w:rsidRPr="0016235B">
              <w:rPr>
                <w:rFonts w:ascii="Candara" w:eastAsia="Times New Roman" w:hAnsi="Candara" w:cs="Times New Roman"/>
                <w:b w:val="0"/>
                <w:color w:val="000000"/>
                <w:sz w:val="24"/>
                <w:szCs w:val="24"/>
              </w:rPr>
              <w:t xml:space="preserve"> Health Centre IV  </w:t>
            </w:r>
          </w:p>
        </w:tc>
        <w:tc>
          <w:tcPr>
            <w:tcW w:w="1350" w:type="dxa"/>
            <w:noWrap/>
            <w:hideMark/>
          </w:tcPr>
          <w:p w14:paraId="5BEC3EE2"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Bukedea</w:t>
            </w:r>
            <w:proofErr w:type="spellEnd"/>
          </w:p>
        </w:tc>
        <w:tc>
          <w:tcPr>
            <w:tcW w:w="3830" w:type="dxa"/>
            <w:noWrap/>
            <w:hideMark/>
          </w:tcPr>
          <w:p w14:paraId="11355852"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3C8D4830"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33FDB59C"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Nagongera</w:t>
            </w:r>
            <w:proofErr w:type="spellEnd"/>
            <w:r w:rsidRPr="0016235B">
              <w:rPr>
                <w:rFonts w:ascii="Candara" w:eastAsia="Times New Roman" w:hAnsi="Candara" w:cs="Times New Roman"/>
                <w:b w:val="0"/>
                <w:color w:val="000000"/>
                <w:sz w:val="24"/>
                <w:szCs w:val="24"/>
              </w:rPr>
              <w:t xml:space="preserve"> Health Centre IV</w:t>
            </w:r>
          </w:p>
        </w:tc>
        <w:tc>
          <w:tcPr>
            <w:tcW w:w="1350" w:type="dxa"/>
            <w:noWrap/>
            <w:hideMark/>
          </w:tcPr>
          <w:p w14:paraId="272D00AF"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Tororo</w:t>
            </w:r>
          </w:p>
        </w:tc>
        <w:tc>
          <w:tcPr>
            <w:tcW w:w="3830" w:type="dxa"/>
            <w:noWrap/>
            <w:hideMark/>
          </w:tcPr>
          <w:p w14:paraId="047FF958"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Government/Public</w:t>
            </w:r>
          </w:p>
        </w:tc>
      </w:tr>
      <w:tr w:rsidR="00891A61" w:rsidRPr="0016235B" w14:paraId="4738D2C5"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13171B27"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Kamukira</w:t>
            </w:r>
            <w:proofErr w:type="spellEnd"/>
            <w:r w:rsidRPr="0016235B">
              <w:rPr>
                <w:rFonts w:ascii="Candara" w:eastAsia="Times New Roman" w:hAnsi="Candara" w:cs="Times New Roman"/>
                <w:b w:val="0"/>
                <w:color w:val="000000"/>
                <w:sz w:val="24"/>
                <w:szCs w:val="24"/>
              </w:rPr>
              <w:t xml:space="preserve"> Health Centre IV</w:t>
            </w:r>
          </w:p>
        </w:tc>
        <w:tc>
          <w:tcPr>
            <w:tcW w:w="1350" w:type="dxa"/>
            <w:noWrap/>
            <w:hideMark/>
          </w:tcPr>
          <w:p w14:paraId="7879661B"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Kabale</w:t>
            </w:r>
            <w:proofErr w:type="spellEnd"/>
          </w:p>
        </w:tc>
        <w:tc>
          <w:tcPr>
            <w:tcW w:w="3830" w:type="dxa"/>
            <w:noWrap/>
            <w:hideMark/>
          </w:tcPr>
          <w:p w14:paraId="644F09D3"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Government/Public</w:t>
            </w:r>
          </w:p>
        </w:tc>
      </w:tr>
      <w:tr w:rsidR="00891A61" w:rsidRPr="0016235B" w14:paraId="3313A15C"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69FAB7B7"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Midas Torch Health Centre IV</w:t>
            </w:r>
          </w:p>
        </w:tc>
        <w:tc>
          <w:tcPr>
            <w:tcW w:w="1350" w:type="dxa"/>
            <w:noWrap/>
            <w:hideMark/>
          </w:tcPr>
          <w:p w14:paraId="5266D3C0"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Kyenjojo</w:t>
            </w:r>
            <w:proofErr w:type="spellEnd"/>
            <w:r w:rsidRPr="0016235B">
              <w:rPr>
                <w:rFonts w:ascii="Candara" w:eastAsia="Times New Roman" w:hAnsi="Candara" w:cs="Times New Roman"/>
                <w:color w:val="000000"/>
                <w:sz w:val="24"/>
                <w:szCs w:val="24"/>
              </w:rPr>
              <w:t xml:space="preserve"> </w:t>
            </w:r>
          </w:p>
        </w:tc>
        <w:tc>
          <w:tcPr>
            <w:tcW w:w="3830" w:type="dxa"/>
            <w:noWrap/>
            <w:hideMark/>
          </w:tcPr>
          <w:p w14:paraId="4DD658A5"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PNFP/NGO/FBO</w:t>
            </w:r>
          </w:p>
        </w:tc>
      </w:tr>
      <w:tr w:rsidR="00891A61" w:rsidRPr="0016235B" w14:paraId="42792F40"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13222416"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Rhino Camp Health Centre IV</w:t>
            </w:r>
          </w:p>
        </w:tc>
        <w:tc>
          <w:tcPr>
            <w:tcW w:w="1350" w:type="dxa"/>
            <w:noWrap/>
            <w:hideMark/>
          </w:tcPr>
          <w:p w14:paraId="1FCF156B"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Arua</w:t>
            </w:r>
            <w:proofErr w:type="spellEnd"/>
          </w:p>
        </w:tc>
        <w:tc>
          <w:tcPr>
            <w:tcW w:w="3830" w:type="dxa"/>
            <w:noWrap/>
            <w:hideMark/>
          </w:tcPr>
          <w:p w14:paraId="667570E7"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4450F2FB"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3E168237"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Kinoni</w:t>
            </w:r>
            <w:proofErr w:type="spellEnd"/>
            <w:r w:rsidRPr="0016235B">
              <w:rPr>
                <w:rFonts w:ascii="Candara" w:eastAsia="Times New Roman" w:hAnsi="Candara" w:cs="Times New Roman"/>
                <w:b w:val="0"/>
                <w:color w:val="000000"/>
                <w:sz w:val="24"/>
                <w:szCs w:val="24"/>
              </w:rPr>
              <w:t xml:space="preserve"> Health Centre IV   </w:t>
            </w:r>
          </w:p>
        </w:tc>
        <w:tc>
          <w:tcPr>
            <w:tcW w:w="1350" w:type="dxa"/>
            <w:noWrap/>
            <w:hideMark/>
          </w:tcPr>
          <w:p w14:paraId="008E5B44"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Mbarara</w:t>
            </w:r>
          </w:p>
        </w:tc>
        <w:tc>
          <w:tcPr>
            <w:tcW w:w="3830" w:type="dxa"/>
            <w:noWrap/>
            <w:hideMark/>
          </w:tcPr>
          <w:p w14:paraId="704FE6AA"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49B8C8B8"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708669DD"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Pakwach</w:t>
            </w:r>
            <w:proofErr w:type="spellEnd"/>
            <w:r w:rsidRPr="0016235B">
              <w:rPr>
                <w:rFonts w:ascii="Candara" w:eastAsia="Times New Roman" w:hAnsi="Candara" w:cs="Times New Roman"/>
                <w:b w:val="0"/>
                <w:color w:val="000000"/>
                <w:sz w:val="24"/>
                <w:szCs w:val="24"/>
              </w:rPr>
              <w:t xml:space="preserve"> Health </w:t>
            </w:r>
            <w:proofErr w:type="gramStart"/>
            <w:r w:rsidRPr="0016235B">
              <w:rPr>
                <w:rFonts w:ascii="Candara" w:eastAsia="Times New Roman" w:hAnsi="Candara" w:cs="Times New Roman"/>
                <w:b w:val="0"/>
                <w:color w:val="000000"/>
                <w:sz w:val="24"/>
                <w:szCs w:val="24"/>
              </w:rPr>
              <w:t>Centre  IV</w:t>
            </w:r>
            <w:proofErr w:type="gramEnd"/>
            <w:r w:rsidRPr="0016235B">
              <w:rPr>
                <w:rFonts w:ascii="Candara" w:eastAsia="Times New Roman" w:hAnsi="Candara" w:cs="Times New Roman"/>
                <w:b w:val="0"/>
                <w:color w:val="000000"/>
                <w:sz w:val="24"/>
                <w:szCs w:val="24"/>
              </w:rPr>
              <w:t xml:space="preserve">  </w:t>
            </w:r>
          </w:p>
        </w:tc>
        <w:tc>
          <w:tcPr>
            <w:tcW w:w="1350" w:type="dxa"/>
            <w:noWrap/>
            <w:hideMark/>
          </w:tcPr>
          <w:p w14:paraId="6F982597"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Pakwach</w:t>
            </w:r>
            <w:proofErr w:type="spellEnd"/>
            <w:r w:rsidRPr="0016235B">
              <w:rPr>
                <w:rFonts w:ascii="Candara" w:eastAsia="Times New Roman" w:hAnsi="Candara" w:cs="Times New Roman"/>
                <w:color w:val="000000"/>
                <w:sz w:val="24"/>
                <w:szCs w:val="24"/>
              </w:rPr>
              <w:t xml:space="preserve"> </w:t>
            </w:r>
          </w:p>
        </w:tc>
        <w:tc>
          <w:tcPr>
            <w:tcW w:w="3830" w:type="dxa"/>
            <w:noWrap/>
            <w:hideMark/>
          </w:tcPr>
          <w:p w14:paraId="3AE6F7AF"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25C18932"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60" w:type="dxa"/>
            <w:noWrap/>
            <w:hideMark/>
          </w:tcPr>
          <w:p w14:paraId="50F91402"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Maziba</w:t>
            </w:r>
            <w:proofErr w:type="spellEnd"/>
            <w:r w:rsidRPr="0016235B">
              <w:rPr>
                <w:rFonts w:ascii="Candara" w:eastAsia="Times New Roman" w:hAnsi="Candara" w:cs="Times New Roman"/>
                <w:b w:val="0"/>
                <w:color w:val="000000"/>
                <w:sz w:val="24"/>
                <w:szCs w:val="24"/>
              </w:rPr>
              <w:t xml:space="preserve"> Health </w:t>
            </w:r>
            <w:proofErr w:type="gramStart"/>
            <w:r w:rsidRPr="0016235B">
              <w:rPr>
                <w:rFonts w:ascii="Candara" w:eastAsia="Times New Roman" w:hAnsi="Candara" w:cs="Times New Roman"/>
                <w:b w:val="0"/>
                <w:color w:val="000000"/>
                <w:sz w:val="24"/>
                <w:szCs w:val="24"/>
              </w:rPr>
              <w:t>Centre  IV</w:t>
            </w:r>
            <w:proofErr w:type="gramEnd"/>
            <w:r w:rsidRPr="0016235B">
              <w:rPr>
                <w:rFonts w:ascii="Candara" w:eastAsia="Times New Roman" w:hAnsi="Candara" w:cs="Times New Roman"/>
                <w:b w:val="0"/>
                <w:color w:val="000000"/>
                <w:sz w:val="24"/>
                <w:szCs w:val="24"/>
              </w:rPr>
              <w:t xml:space="preserve">  </w:t>
            </w:r>
          </w:p>
        </w:tc>
        <w:tc>
          <w:tcPr>
            <w:tcW w:w="1350" w:type="dxa"/>
            <w:noWrap/>
            <w:hideMark/>
          </w:tcPr>
          <w:p w14:paraId="7E817068"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Kabale</w:t>
            </w:r>
            <w:proofErr w:type="spellEnd"/>
            <w:r w:rsidRPr="0016235B">
              <w:rPr>
                <w:rFonts w:ascii="Candara" w:eastAsia="Times New Roman" w:hAnsi="Candara" w:cs="Times New Roman"/>
                <w:color w:val="000000"/>
                <w:sz w:val="24"/>
                <w:szCs w:val="24"/>
              </w:rPr>
              <w:t xml:space="preserve">  </w:t>
            </w:r>
          </w:p>
        </w:tc>
        <w:tc>
          <w:tcPr>
            <w:tcW w:w="3830" w:type="dxa"/>
            <w:noWrap/>
            <w:hideMark/>
          </w:tcPr>
          <w:p w14:paraId="46C24443"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bl>
    <w:p w14:paraId="411BA583" w14:textId="77777777" w:rsidR="00244BC6" w:rsidRPr="0016235B" w:rsidRDefault="00244BC6" w:rsidP="00815396">
      <w:pPr>
        <w:tabs>
          <w:tab w:val="left" w:pos="8400"/>
        </w:tabs>
        <w:rPr>
          <w:rFonts w:ascii="Candara" w:hAnsi="Candara"/>
          <w:sz w:val="24"/>
          <w:szCs w:val="24"/>
        </w:rPr>
      </w:pPr>
    </w:p>
    <w:p w14:paraId="5CA95EDE" w14:textId="54FA67E1" w:rsidR="00244BC6" w:rsidRPr="0016235B" w:rsidRDefault="00891A61" w:rsidP="005722F2">
      <w:pPr>
        <w:pStyle w:val="Heading2"/>
        <w:numPr>
          <w:ilvl w:val="1"/>
          <w:numId w:val="25"/>
        </w:numPr>
        <w:rPr>
          <w:rFonts w:ascii="Candara" w:hAnsi="Candara"/>
          <w:b/>
          <w:sz w:val="28"/>
          <w:szCs w:val="28"/>
        </w:rPr>
      </w:pPr>
      <w:bookmarkStart w:id="73" w:name="_Toc11494078"/>
      <w:r w:rsidRPr="0016235B">
        <w:rPr>
          <w:rFonts w:ascii="Candara" w:hAnsi="Candara"/>
          <w:b/>
          <w:sz w:val="28"/>
          <w:szCs w:val="28"/>
        </w:rPr>
        <w:t xml:space="preserve">General Hospitals &amp; HC IVs not providing </w:t>
      </w:r>
      <w:proofErr w:type="spellStart"/>
      <w:r w:rsidRPr="0016235B">
        <w:rPr>
          <w:rFonts w:ascii="Candara" w:hAnsi="Candara"/>
          <w:b/>
          <w:sz w:val="28"/>
          <w:szCs w:val="28"/>
        </w:rPr>
        <w:t>eMTCT</w:t>
      </w:r>
      <w:bookmarkEnd w:id="73"/>
      <w:proofErr w:type="spellEnd"/>
    </w:p>
    <w:tbl>
      <w:tblPr>
        <w:tblStyle w:val="PlainTable2"/>
        <w:tblW w:w="10040" w:type="dxa"/>
        <w:tblLook w:val="04A0" w:firstRow="1" w:lastRow="0" w:firstColumn="1" w:lastColumn="0" w:noHBand="0" w:noVBand="1"/>
      </w:tblPr>
      <w:tblGrid>
        <w:gridCol w:w="4590"/>
        <w:gridCol w:w="1350"/>
        <w:gridCol w:w="4100"/>
      </w:tblGrid>
      <w:tr w:rsidR="00891A61" w:rsidRPr="0016235B" w14:paraId="06E91606" w14:textId="77777777" w:rsidTr="00891A6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03BE92B6" w14:textId="77777777" w:rsidR="00891A61" w:rsidRPr="0016235B" w:rsidRDefault="00891A61" w:rsidP="00891A61">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350" w:type="dxa"/>
            <w:noWrap/>
            <w:hideMark/>
          </w:tcPr>
          <w:p w14:paraId="410F0E02"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4100" w:type="dxa"/>
            <w:noWrap/>
            <w:hideMark/>
          </w:tcPr>
          <w:p w14:paraId="79993DE9"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891A61" w:rsidRPr="0016235B" w14:paraId="0B723790"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36FE99C1"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Makerere University Hospital   </w:t>
            </w:r>
          </w:p>
        </w:tc>
        <w:tc>
          <w:tcPr>
            <w:tcW w:w="1350" w:type="dxa"/>
            <w:noWrap/>
            <w:hideMark/>
          </w:tcPr>
          <w:p w14:paraId="605D5615"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100" w:type="dxa"/>
            <w:noWrap/>
            <w:hideMark/>
          </w:tcPr>
          <w:p w14:paraId="77BC3CB7"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5F566008"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37CA4530"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Kampala </w:t>
            </w:r>
            <w:proofErr w:type="gramStart"/>
            <w:r w:rsidRPr="0016235B">
              <w:rPr>
                <w:rFonts w:ascii="Candara" w:eastAsia="Times New Roman" w:hAnsi="Candara" w:cs="Times New Roman"/>
                <w:b w:val="0"/>
                <w:color w:val="000000"/>
                <w:sz w:val="24"/>
                <w:szCs w:val="24"/>
              </w:rPr>
              <w:t>Independent  General</w:t>
            </w:r>
            <w:proofErr w:type="gramEnd"/>
            <w:r w:rsidRPr="0016235B">
              <w:rPr>
                <w:rFonts w:ascii="Candara" w:eastAsia="Times New Roman" w:hAnsi="Candara" w:cs="Times New Roman"/>
                <w:b w:val="0"/>
                <w:color w:val="000000"/>
                <w:sz w:val="24"/>
                <w:szCs w:val="24"/>
              </w:rPr>
              <w:t xml:space="preserve"> Hospital</w:t>
            </w:r>
          </w:p>
        </w:tc>
        <w:tc>
          <w:tcPr>
            <w:tcW w:w="1350" w:type="dxa"/>
            <w:noWrap/>
            <w:hideMark/>
          </w:tcPr>
          <w:p w14:paraId="65CD0CEA"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100" w:type="dxa"/>
            <w:noWrap/>
            <w:hideMark/>
          </w:tcPr>
          <w:p w14:paraId="06755BFB"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891A61" w:rsidRPr="0016235B" w14:paraId="79199B83"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0FAF076C" w14:textId="77777777" w:rsidR="00891A61" w:rsidRPr="0016235B" w:rsidRDefault="00891A61" w:rsidP="00891A61">
            <w:pPr>
              <w:rPr>
                <w:rFonts w:ascii="Candara" w:eastAsia="Times New Roman" w:hAnsi="Candara" w:cs="Times New Roman"/>
                <w:b w:val="0"/>
                <w:color w:val="000000"/>
                <w:sz w:val="24"/>
                <w:szCs w:val="24"/>
              </w:rPr>
            </w:pPr>
            <w:proofErr w:type="gramStart"/>
            <w:r w:rsidRPr="0016235B">
              <w:rPr>
                <w:rFonts w:ascii="Candara" w:eastAsia="Times New Roman" w:hAnsi="Candara" w:cs="Times New Roman"/>
                <w:b w:val="0"/>
                <w:color w:val="000000"/>
                <w:sz w:val="24"/>
                <w:szCs w:val="24"/>
              </w:rPr>
              <w:t>Rhema  General</w:t>
            </w:r>
            <w:proofErr w:type="gramEnd"/>
            <w:r w:rsidRPr="0016235B">
              <w:rPr>
                <w:rFonts w:ascii="Candara" w:eastAsia="Times New Roman" w:hAnsi="Candara" w:cs="Times New Roman"/>
                <w:b w:val="0"/>
                <w:color w:val="000000"/>
                <w:sz w:val="24"/>
                <w:szCs w:val="24"/>
              </w:rPr>
              <w:t xml:space="preserve"> Hospital</w:t>
            </w:r>
          </w:p>
        </w:tc>
        <w:tc>
          <w:tcPr>
            <w:tcW w:w="1350" w:type="dxa"/>
            <w:noWrap/>
            <w:hideMark/>
          </w:tcPr>
          <w:p w14:paraId="48BC7F05"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Arua</w:t>
            </w:r>
            <w:proofErr w:type="spellEnd"/>
          </w:p>
        </w:tc>
        <w:tc>
          <w:tcPr>
            <w:tcW w:w="4100" w:type="dxa"/>
            <w:noWrap/>
            <w:hideMark/>
          </w:tcPr>
          <w:p w14:paraId="0261B2EB"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891A61" w:rsidRPr="0016235B" w14:paraId="3515FF22"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666FEEFF"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Devine </w:t>
            </w:r>
            <w:proofErr w:type="gramStart"/>
            <w:r w:rsidRPr="0016235B">
              <w:rPr>
                <w:rFonts w:ascii="Candara" w:eastAsia="Times New Roman" w:hAnsi="Candara" w:cs="Times New Roman"/>
                <w:b w:val="0"/>
                <w:color w:val="000000"/>
                <w:sz w:val="24"/>
                <w:szCs w:val="24"/>
              </w:rPr>
              <w:t>Mercy  General</w:t>
            </w:r>
            <w:proofErr w:type="gramEnd"/>
            <w:r w:rsidRPr="0016235B">
              <w:rPr>
                <w:rFonts w:ascii="Candara" w:eastAsia="Times New Roman" w:hAnsi="Candara" w:cs="Times New Roman"/>
                <w:b w:val="0"/>
                <w:color w:val="000000"/>
                <w:sz w:val="24"/>
                <w:szCs w:val="24"/>
              </w:rPr>
              <w:t xml:space="preserve"> Hospital</w:t>
            </w:r>
          </w:p>
        </w:tc>
        <w:tc>
          <w:tcPr>
            <w:tcW w:w="1350" w:type="dxa"/>
            <w:noWrap/>
            <w:hideMark/>
          </w:tcPr>
          <w:p w14:paraId="6F308786"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Mbarara</w:t>
            </w:r>
          </w:p>
        </w:tc>
        <w:tc>
          <w:tcPr>
            <w:tcW w:w="4100" w:type="dxa"/>
            <w:noWrap/>
            <w:hideMark/>
          </w:tcPr>
          <w:p w14:paraId="33CC062F"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PNFP/NGO/FBO</w:t>
            </w:r>
          </w:p>
        </w:tc>
      </w:tr>
      <w:tr w:rsidR="00891A61" w:rsidRPr="0016235B" w14:paraId="4557CC52"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27E98ED3" w14:textId="77777777" w:rsidR="00891A61" w:rsidRPr="0016235B" w:rsidRDefault="00891A61" w:rsidP="00891A61">
            <w:pPr>
              <w:rPr>
                <w:rFonts w:ascii="Candara" w:eastAsia="Times New Roman" w:hAnsi="Candara" w:cs="Times New Roman"/>
                <w:b w:val="0"/>
                <w:color w:val="000000"/>
                <w:sz w:val="24"/>
                <w:szCs w:val="24"/>
              </w:rPr>
            </w:pPr>
            <w:proofErr w:type="gramStart"/>
            <w:r w:rsidRPr="0016235B">
              <w:rPr>
                <w:rFonts w:ascii="Candara" w:eastAsia="Times New Roman" w:hAnsi="Candara" w:cs="Times New Roman"/>
                <w:b w:val="0"/>
                <w:color w:val="000000"/>
                <w:sz w:val="24"/>
                <w:szCs w:val="24"/>
              </w:rPr>
              <w:t>Victoria  General</w:t>
            </w:r>
            <w:proofErr w:type="gramEnd"/>
            <w:r w:rsidRPr="0016235B">
              <w:rPr>
                <w:rFonts w:ascii="Candara" w:eastAsia="Times New Roman" w:hAnsi="Candara" w:cs="Times New Roman"/>
                <w:b w:val="0"/>
                <w:color w:val="000000"/>
                <w:sz w:val="24"/>
                <w:szCs w:val="24"/>
              </w:rPr>
              <w:t xml:space="preserve"> Hospital</w:t>
            </w:r>
          </w:p>
        </w:tc>
        <w:tc>
          <w:tcPr>
            <w:tcW w:w="1350" w:type="dxa"/>
            <w:noWrap/>
            <w:hideMark/>
          </w:tcPr>
          <w:p w14:paraId="4618F577"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100" w:type="dxa"/>
            <w:noWrap/>
            <w:hideMark/>
          </w:tcPr>
          <w:p w14:paraId="468DB4A4"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891A61" w:rsidRPr="0016235B" w14:paraId="3A6F1EF6"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54465056" w14:textId="77777777" w:rsidR="00891A61" w:rsidRPr="0016235B" w:rsidRDefault="00891A61" w:rsidP="00891A61">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Medik</w:t>
            </w:r>
            <w:proofErr w:type="spellEnd"/>
            <w:r w:rsidRPr="0016235B">
              <w:rPr>
                <w:rFonts w:ascii="Candara" w:eastAsia="Times New Roman" w:hAnsi="Candara" w:cs="Times New Roman"/>
                <w:b w:val="0"/>
                <w:color w:val="000000"/>
                <w:sz w:val="24"/>
                <w:szCs w:val="24"/>
              </w:rPr>
              <w:t xml:space="preserve">  General</w:t>
            </w:r>
            <w:proofErr w:type="gramEnd"/>
            <w:r w:rsidRPr="0016235B">
              <w:rPr>
                <w:rFonts w:ascii="Candara" w:eastAsia="Times New Roman" w:hAnsi="Candara" w:cs="Times New Roman"/>
                <w:b w:val="0"/>
                <w:color w:val="000000"/>
                <w:sz w:val="24"/>
                <w:szCs w:val="24"/>
              </w:rPr>
              <w:t xml:space="preserve"> Hospital</w:t>
            </w:r>
          </w:p>
        </w:tc>
        <w:tc>
          <w:tcPr>
            <w:tcW w:w="1350" w:type="dxa"/>
            <w:noWrap/>
            <w:hideMark/>
          </w:tcPr>
          <w:p w14:paraId="2884D852"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100" w:type="dxa"/>
            <w:noWrap/>
            <w:hideMark/>
          </w:tcPr>
          <w:p w14:paraId="0B6B9CE8"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891A61" w:rsidRPr="0016235B" w14:paraId="6D7DB676"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5403A36D"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Divine </w:t>
            </w:r>
            <w:proofErr w:type="gramStart"/>
            <w:r w:rsidRPr="0016235B">
              <w:rPr>
                <w:rFonts w:ascii="Candara" w:eastAsia="Times New Roman" w:hAnsi="Candara" w:cs="Times New Roman"/>
                <w:b w:val="0"/>
                <w:color w:val="000000"/>
                <w:sz w:val="24"/>
                <w:szCs w:val="24"/>
              </w:rPr>
              <w:t>Mercy  General</w:t>
            </w:r>
            <w:proofErr w:type="gramEnd"/>
            <w:r w:rsidRPr="0016235B">
              <w:rPr>
                <w:rFonts w:ascii="Candara" w:eastAsia="Times New Roman" w:hAnsi="Candara" w:cs="Times New Roman"/>
                <w:b w:val="0"/>
                <w:color w:val="000000"/>
                <w:sz w:val="24"/>
                <w:szCs w:val="24"/>
              </w:rPr>
              <w:t xml:space="preserve"> Hospital</w:t>
            </w:r>
          </w:p>
        </w:tc>
        <w:tc>
          <w:tcPr>
            <w:tcW w:w="1350" w:type="dxa"/>
            <w:noWrap/>
            <w:hideMark/>
          </w:tcPr>
          <w:p w14:paraId="2AA16131"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Tororo </w:t>
            </w:r>
          </w:p>
        </w:tc>
        <w:tc>
          <w:tcPr>
            <w:tcW w:w="4100" w:type="dxa"/>
            <w:noWrap/>
            <w:hideMark/>
          </w:tcPr>
          <w:p w14:paraId="0C1A716A"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891A61" w:rsidRPr="0016235B" w14:paraId="25E15228"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0ACDCD99" w14:textId="77777777" w:rsidR="00891A61" w:rsidRPr="0016235B" w:rsidRDefault="00891A61" w:rsidP="00891A61">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Norvick</w:t>
            </w:r>
            <w:proofErr w:type="spellEnd"/>
            <w:r w:rsidRPr="0016235B">
              <w:rPr>
                <w:rFonts w:ascii="Candara" w:eastAsia="Times New Roman" w:hAnsi="Candara" w:cs="Times New Roman"/>
                <w:b w:val="0"/>
                <w:color w:val="000000"/>
                <w:sz w:val="24"/>
                <w:szCs w:val="24"/>
              </w:rPr>
              <w:t xml:space="preserve">  General</w:t>
            </w:r>
            <w:proofErr w:type="gramEnd"/>
            <w:r w:rsidRPr="0016235B">
              <w:rPr>
                <w:rFonts w:ascii="Candara" w:eastAsia="Times New Roman" w:hAnsi="Candara" w:cs="Times New Roman"/>
                <w:b w:val="0"/>
                <w:color w:val="000000"/>
                <w:sz w:val="24"/>
                <w:szCs w:val="24"/>
              </w:rPr>
              <w:t xml:space="preserve"> Hospital</w:t>
            </w:r>
          </w:p>
        </w:tc>
        <w:tc>
          <w:tcPr>
            <w:tcW w:w="1350" w:type="dxa"/>
            <w:noWrap/>
            <w:hideMark/>
          </w:tcPr>
          <w:p w14:paraId="14551C75"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100" w:type="dxa"/>
            <w:noWrap/>
            <w:hideMark/>
          </w:tcPr>
          <w:p w14:paraId="20317EFC"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bl>
    <w:p w14:paraId="508C4088" w14:textId="77777777" w:rsidR="00244BC6" w:rsidRPr="0016235B" w:rsidRDefault="00244BC6" w:rsidP="00815396">
      <w:pPr>
        <w:tabs>
          <w:tab w:val="left" w:pos="8400"/>
        </w:tabs>
        <w:rPr>
          <w:rFonts w:ascii="Candara" w:hAnsi="Candara"/>
          <w:sz w:val="24"/>
          <w:szCs w:val="24"/>
        </w:rPr>
      </w:pPr>
    </w:p>
    <w:p w14:paraId="44641A59" w14:textId="77777777" w:rsidR="00891A61" w:rsidRPr="0016235B" w:rsidRDefault="00891A61" w:rsidP="00815396">
      <w:pPr>
        <w:tabs>
          <w:tab w:val="left" w:pos="8400"/>
        </w:tabs>
        <w:rPr>
          <w:rFonts w:ascii="Candara" w:hAnsi="Candara"/>
          <w:sz w:val="24"/>
          <w:szCs w:val="24"/>
        </w:rPr>
      </w:pPr>
    </w:p>
    <w:p w14:paraId="4F53906A" w14:textId="661F8667" w:rsidR="00891A61" w:rsidRPr="0016235B" w:rsidRDefault="00891A61" w:rsidP="005722F2">
      <w:pPr>
        <w:pStyle w:val="Heading2"/>
        <w:numPr>
          <w:ilvl w:val="1"/>
          <w:numId w:val="25"/>
        </w:numPr>
        <w:rPr>
          <w:rFonts w:ascii="Candara" w:hAnsi="Candara"/>
          <w:b/>
          <w:sz w:val="28"/>
          <w:szCs w:val="28"/>
        </w:rPr>
      </w:pPr>
      <w:bookmarkStart w:id="74" w:name="_Toc11494079"/>
      <w:r w:rsidRPr="0016235B">
        <w:rPr>
          <w:rFonts w:ascii="Candara" w:hAnsi="Candara"/>
          <w:b/>
          <w:sz w:val="28"/>
          <w:szCs w:val="28"/>
        </w:rPr>
        <w:t>General Hospitals &amp; HC IVs not providing HIV Counselling and Testing</w:t>
      </w:r>
      <w:bookmarkEnd w:id="74"/>
    </w:p>
    <w:tbl>
      <w:tblPr>
        <w:tblStyle w:val="PlainTable2"/>
        <w:tblW w:w="10040" w:type="dxa"/>
        <w:tblLook w:val="04A0" w:firstRow="1" w:lastRow="0" w:firstColumn="1" w:lastColumn="0" w:noHBand="0" w:noVBand="1"/>
      </w:tblPr>
      <w:tblGrid>
        <w:gridCol w:w="4050"/>
        <w:gridCol w:w="1710"/>
        <w:gridCol w:w="4280"/>
      </w:tblGrid>
      <w:tr w:rsidR="00891A61" w:rsidRPr="0016235B" w14:paraId="739D379C" w14:textId="77777777" w:rsidTr="00891A6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12B71784" w14:textId="77777777" w:rsidR="00891A61" w:rsidRPr="0016235B" w:rsidRDefault="00891A61" w:rsidP="00891A61">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710" w:type="dxa"/>
            <w:noWrap/>
            <w:hideMark/>
          </w:tcPr>
          <w:p w14:paraId="150DEABD"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4280" w:type="dxa"/>
            <w:noWrap/>
            <w:hideMark/>
          </w:tcPr>
          <w:p w14:paraId="51F30896"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891A61" w:rsidRPr="0016235B" w14:paraId="40CD0C9B"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716B42B2" w14:textId="77777777" w:rsidR="00891A61" w:rsidRPr="0016235B" w:rsidRDefault="00891A61" w:rsidP="00891A61">
            <w:pPr>
              <w:rPr>
                <w:rFonts w:ascii="Candara" w:eastAsia="Times New Roman" w:hAnsi="Candara" w:cs="Times New Roman"/>
                <w:b w:val="0"/>
                <w:color w:val="000000"/>
                <w:sz w:val="24"/>
                <w:szCs w:val="24"/>
              </w:rPr>
            </w:pPr>
            <w:proofErr w:type="gramStart"/>
            <w:r w:rsidRPr="0016235B">
              <w:rPr>
                <w:rFonts w:ascii="Candara" w:eastAsia="Times New Roman" w:hAnsi="Candara" w:cs="Times New Roman"/>
                <w:b w:val="0"/>
                <w:color w:val="000000"/>
                <w:sz w:val="24"/>
                <w:szCs w:val="24"/>
              </w:rPr>
              <w:t>Rhema  General</w:t>
            </w:r>
            <w:proofErr w:type="gramEnd"/>
            <w:r w:rsidRPr="0016235B">
              <w:rPr>
                <w:rFonts w:ascii="Candara" w:eastAsia="Times New Roman" w:hAnsi="Candara" w:cs="Times New Roman"/>
                <w:b w:val="0"/>
                <w:color w:val="000000"/>
                <w:sz w:val="24"/>
                <w:szCs w:val="24"/>
              </w:rPr>
              <w:t xml:space="preserve"> Hospital</w:t>
            </w:r>
          </w:p>
        </w:tc>
        <w:tc>
          <w:tcPr>
            <w:tcW w:w="1710" w:type="dxa"/>
            <w:noWrap/>
            <w:hideMark/>
          </w:tcPr>
          <w:p w14:paraId="3AEA9D93"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Arua</w:t>
            </w:r>
            <w:proofErr w:type="spellEnd"/>
          </w:p>
        </w:tc>
        <w:tc>
          <w:tcPr>
            <w:tcW w:w="4280" w:type="dxa"/>
            <w:noWrap/>
            <w:hideMark/>
          </w:tcPr>
          <w:p w14:paraId="55ABF46E"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891A61" w:rsidRPr="0016235B" w14:paraId="2C778E60" w14:textId="77777777" w:rsidTr="00891A61">
        <w:trPr>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21BAC15E"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Amach</w:t>
            </w:r>
            <w:proofErr w:type="spellEnd"/>
            <w:r w:rsidRPr="0016235B">
              <w:rPr>
                <w:rFonts w:ascii="Candara" w:eastAsia="Times New Roman" w:hAnsi="Candara" w:cs="Times New Roman"/>
                <w:b w:val="0"/>
                <w:color w:val="000000"/>
                <w:sz w:val="24"/>
                <w:szCs w:val="24"/>
              </w:rPr>
              <w:t xml:space="preserve"> Health Centre IV</w:t>
            </w:r>
          </w:p>
        </w:tc>
        <w:tc>
          <w:tcPr>
            <w:tcW w:w="1710" w:type="dxa"/>
            <w:noWrap/>
            <w:hideMark/>
          </w:tcPr>
          <w:p w14:paraId="14990220"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Lira</w:t>
            </w:r>
          </w:p>
        </w:tc>
        <w:tc>
          <w:tcPr>
            <w:tcW w:w="4280" w:type="dxa"/>
            <w:noWrap/>
            <w:hideMark/>
          </w:tcPr>
          <w:p w14:paraId="4CF34A55"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2E03120F" w14:textId="77777777" w:rsidTr="00891A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019DB725"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Senta</w:t>
            </w:r>
            <w:proofErr w:type="spellEnd"/>
            <w:r w:rsidRPr="0016235B">
              <w:rPr>
                <w:rFonts w:ascii="Candara" w:eastAsia="Times New Roman" w:hAnsi="Candara" w:cs="Times New Roman"/>
                <w:b w:val="0"/>
                <w:color w:val="000000"/>
                <w:sz w:val="24"/>
                <w:szCs w:val="24"/>
              </w:rPr>
              <w:t xml:space="preserve"> </w:t>
            </w:r>
            <w:proofErr w:type="gramStart"/>
            <w:r w:rsidRPr="0016235B">
              <w:rPr>
                <w:rFonts w:ascii="Candara" w:eastAsia="Times New Roman" w:hAnsi="Candara" w:cs="Times New Roman"/>
                <w:b w:val="0"/>
                <w:color w:val="000000"/>
                <w:sz w:val="24"/>
                <w:szCs w:val="24"/>
              </w:rPr>
              <w:t>Medicare  Health</w:t>
            </w:r>
            <w:proofErr w:type="gramEnd"/>
            <w:r w:rsidRPr="0016235B">
              <w:rPr>
                <w:rFonts w:ascii="Candara" w:eastAsia="Times New Roman" w:hAnsi="Candara" w:cs="Times New Roman"/>
                <w:b w:val="0"/>
                <w:color w:val="000000"/>
                <w:sz w:val="24"/>
                <w:szCs w:val="24"/>
              </w:rPr>
              <w:t xml:space="preserve"> Centre IV</w:t>
            </w:r>
          </w:p>
        </w:tc>
        <w:tc>
          <w:tcPr>
            <w:tcW w:w="1710" w:type="dxa"/>
            <w:noWrap/>
            <w:hideMark/>
          </w:tcPr>
          <w:p w14:paraId="1A87B7BF"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280" w:type="dxa"/>
            <w:noWrap/>
            <w:hideMark/>
          </w:tcPr>
          <w:p w14:paraId="63A0E1CB"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bl>
    <w:p w14:paraId="6274062A" w14:textId="77777777" w:rsidR="00891A61" w:rsidRPr="0016235B" w:rsidRDefault="00891A61" w:rsidP="00815396">
      <w:pPr>
        <w:tabs>
          <w:tab w:val="left" w:pos="8400"/>
        </w:tabs>
        <w:rPr>
          <w:rFonts w:ascii="Candara" w:hAnsi="Candara"/>
          <w:sz w:val="24"/>
          <w:szCs w:val="24"/>
        </w:rPr>
      </w:pPr>
    </w:p>
    <w:p w14:paraId="707CB2C8" w14:textId="4930ED1B" w:rsidR="00891A61" w:rsidRPr="0016235B" w:rsidRDefault="00891A61" w:rsidP="005722F2">
      <w:pPr>
        <w:pStyle w:val="Heading2"/>
        <w:numPr>
          <w:ilvl w:val="1"/>
          <w:numId w:val="25"/>
        </w:numPr>
        <w:rPr>
          <w:rFonts w:ascii="Candara" w:hAnsi="Candara"/>
          <w:b/>
          <w:sz w:val="28"/>
          <w:szCs w:val="28"/>
        </w:rPr>
      </w:pPr>
      <w:bookmarkStart w:id="75" w:name="_Toc11494080"/>
      <w:r w:rsidRPr="0016235B">
        <w:rPr>
          <w:rFonts w:ascii="Candara" w:hAnsi="Candara"/>
          <w:b/>
          <w:sz w:val="28"/>
          <w:szCs w:val="28"/>
        </w:rPr>
        <w:t>G</w:t>
      </w:r>
      <w:r w:rsidR="0084048E" w:rsidRPr="0016235B">
        <w:rPr>
          <w:rFonts w:ascii="Candara" w:hAnsi="Candara"/>
          <w:b/>
          <w:sz w:val="28"/>
          <w:szCs w:val="28"/>
        </w:rPr>
        <w:t xml:space="preserve">eneral </w:t>
      </w:r>
      <w:proofErr w:type="spellStart"/>
      <w:r w:rsidRPr="0016235B">
        <w:rPr>
          <w:rFonts w:ascii="Candara" w:hAnsi="Candara"/>
          <w:b/>
          <w:sz w:val="28"/>
          <w:szCs w:val="28"/>
        </w:rPr>
        <w:t>H</w:t>
      </w:r>
      <w:r w:rsidR="0084048E" w:rsidRPr="0016235B">
        <w:rPr>
          <w:rFonts w:ascii="Candara" w:hAnsi="Candara"/>
          <w:b/>
          <w:sz w:val="28"/>
          <w:szCs w:val="28"/>
        </w:rPr>
        <w:t>ospitals</w:t>
      </w:r>
      <w:r w:rsidRPr="0016235B">
        <w:rPr>
          <w:rFonts w:ascii="Candara" w:hAnsi="Candara"/>
          <w:b/>
          <w:sz w:val="28"/>
          <w:szCs w:val="28"/>
        </w:rPr>
        <w:t>s</w:t>
      </w:r>
      <w:proofErr w:type="spellEnd"/>
      <w:r w:rsidRPr="0016235B">
        <w:rPr>
          <w:rFonts w:ascii="Candara" w:hAnsi="Candara"/>
          <w:b/>
          <w:sz w:val="28"/>
          <w:szCs w:val="28"/>
        </w:rPr>
        <w:t>, HC IVs and HC IIIs not offering routine immunization services</w:t>
      </w:r>
      <w:bookmarkEnd w:id="75"/>
    </w:p>
    <w:tbl>
      <w:tblPr>
        <w:tblStyle w:val="PlainTable2"/>
        <w:tblW w:w="9810" w:type="dxa"/>
        <w:tblLook w:val="04A0" w:firstRow="1" w:lastRow="0" w:firstColumn="1" w:lastColumn="0" w:noHBand="0" w:noVBand="1"/>
      </w:tblPr>
      <w:tblGrid>
        <w:gridCol w:w="4590"/>
        <w:gridCol w:w="1170"/>
        <w:gridCol w:w="4050"/>
      </w:tblGrid>
      <w:tr w:rsidR="00891A61" w:rsidRPr="0016235B" w14:paraId="073FC379" w14:textId="77777777" w:rsidTr="001447E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7FD37B2F" w14:textId="77777777" w:rsidR="00891A61" w:rsidRPr="0016235B" w:rsidRDefault="00891A61" w:rsidP="00891A61">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170" w:type="dxa"/>
            <w:noWrap/>
            <w:hideMark/>
          </w:tcPr>
          <w:p w14:paraId="6F29B63A"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4050" w:type="dxa"/>
            <w:noWrap/>
            <w:hideMark/>
          </w:tcPr>
          <w:p w14:paraId="2E40CE86" w14:textId="77777777" w:rsidR="00891A61" w:rsidRPr="0016235B" w:rsidRDefault="00891A61" w:rsidP="00891A61">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891A61" w:rsidRPr="0016235B" w14:paraId="21C97B1E" w14:textId="77777777" w:rsidTr="001447E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343AB5CD" w14:textId="77777777" w:rsidR="00891A61" w:rsidRPr="0016235B" w:rsidRDefault="00891A61" w:rsidP="00891A61">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Kampala </w:t>
            </w:r>
            <w:proofErr w:type="gramStart"/>
            <w:r w:rsidRPr="0016235B">
              <w:rPr>
                <w:rFonts w:ascii="Candara" w:eastAsia="Times New Roman" w:hAnsi="Candara" w:cs="Times New Roman"/>
                <w:b w:val="0"/>
                <w:color w:val="000000"/>
                <w:sz w:val="24"/>
                <w:szCs w:val="24"/>
              </w:rPr>
              <w:t>Independent  General</w:t>
            </w:r>
            <w:proofErr w:type="gramEnd"/>
            <w:r w:rsidRPr="0016235B">
              <w:rPr>
                <w:rFonts w:ascii="Candara" w:eastAsia="Times New Roman" w:hAnsi="Candara" w:cs="Times New Roman"/>
                <w:b w:val="0"/>
                <w:color w:val="000000"/>
                <w:sz w:val="24"/>
                <w:szCs w:val="24"/>
              </w:rPr>
              <w:t xml:space="preserve"> Hospital</w:t>
            </w:r>
          </w:p>
        </w:tc>
        <w:tc>
          <w:tcPr>
            <w:tcW w:w="1170" w:type="dxa"/>
            <w:noWrap/>
            <w:hideMark/>
          </w:tcPr>
          <w:p w14:paraId="4B5D3FD4"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050" w:type="dxa"/>
            <w:noWrap/>
            <w:hideMark/>
          </w:tcPr>
          <w:p w14:paraId="5366975C"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891A61" w:rsidRPr="0016235B" w14:paraId="631E02E6" w14:textId="77777777" w:rsidTr="001447EA">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4984E771"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Jrc</w:t>
            </w:r>
            <w:proofErr w:type="spellEnd"/>
            <w:r w:rsidRPr="0016235B">
              <w:rPr>
                <w:rFonts w:ascii="Candara" w:eastAsia="Times New Roman" w:hAnsi="Candara" w:cs="Times New Roman"/>
                <w:b w:val="0"/>
                <w:color w:val="000000"/>
                <w:sz w:val="24"/>
                <w:szCs w:val="24"/>
              </w:rPr>
              <w:t xml:space="preserve"> Medical </w:t>
            </w:r>
            <w:proofErr w:type="gramStart"/>
            <w:r w:rsidRPr="0016235B">
              <w:rPr>
                <w:rFonts w:ascii="Candara" w:eastAsia="Times New Roman" w:hAnsi="Candara" w:cs="Times New Roman"/>
                <w:b w:val="0"/>
                <w:color w:val="000000"/>
                <w:sz w:val="24"/>
                <w:szCs w:val="24"/>
              </w:rPr>
              <w:t>Chambers  General</w:t>
            </w:r>
            <w:proofErr w:type="gramEnd"/>
            <w:r w:rsidRPr="0016235B">
              <w:rPr>
                <w:rFonts w:ascii="Candara" w:eastAsia="Times New Roman" w:hAnsi="Candara" w:cs="Times New Roman"/>
                <w:b w:val="0"/>
                <w:color w:val="000000"/>
                <w:sz w:val="24"/>
                <w:szCs w:val="24"/>
              </w:rPr>
              <w:t xml:space="preserve"> Hospital</w:t>
            </w:r>
          </w:p>
        </w:tc>
        <w:tc>
          <w:tcPr>
            <w:tcW w:w="1170" w:type="dxa"/>
            <w:noWrap/>
            <w:hideMark/>
          </w:tcPr>
          <w:p w14:paraId="0AAFC713"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Tororo</w:t>
            </w:r>
          </w:p>
        </w:tc>
        <w:tc>
          <w:tcPr>
            <w:tcW w:w="4050" w:type="dxa"/>
            <w:noWrap/>
            <w:hideMark/>
          </w:tcPr>
          <w:p w14:paraId="1474E265"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891A61" w:rsidRPr="0016235B" w14:paraId="33590134" w14:textId="77777777" w:rsidTr="001447E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116212F7" w14:textId="77777777" w:rsidR="00891A61" w:rsidRPr="0016235B" w:rsidRDefault="00891A61" w:rsidP="00891A61">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Medik</w:t>
            </w:r>
            <w:proofErr w:type="spellEnd"/>
            <w:r w:rsidRPr="0016235B">
              <w:rPr>
                <w:rFonts w:ascii="Candara" w:eastAsia="Times New Roman" w:hAnsi="Candara" w:cs="Times New Roman"/>
                <w:b w:val="0"/>
                <w:color w:val="000000"/>
                <w:sz w:val="24"/>
                <w:szCs w:val="24"/>
              </w:rPr>
              <w:t xml:space="preserve">  General</w:t>
            </w:r>
            <w:proofErr w:type="gramEnd"/>
            <w:r w:rsidRPr="0016235B">
              <w:rPr>
                <w:rFonts w:ascii="Candara" w:eastAsia="Times New Roman" w:hAnsi="Candara" w:cs="Times New Roman"/>
                <w:b w:val="0"/>
                <w:color w:val="000000"/>
                <w:sz w:val="24"/>
                <w:szCs w:val="24"/>
              </w:rPr>
              <w:t xml:space="preserve"> Hospital</w:t>
            </w:r>
          </w:p>
        </w:tc>
        <w:tc>
          <w:tcPr>
            <w:tcW w:w="1170" w:type="dxa"/>
            <w:noWrap/>
            <w:hideMark/>
          </w:tcPr>
          <w:p w14:paraId="7A7E464C"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050" w:type="dxa"/>
            <w:noWrap/>
            <w:hideMark/>
          </w:tcPr>
          <w:p w14:paraId="595BD721"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891A61" w:rsidRPr="0016235B" w14:paraId="42276757" w14:textId="77777777" w:rsidTr="001447EA">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3941440F"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Ogur</w:t>
            </w:r>
            <w:proofErr w:type="spellEnd"/>
            <w:r w:rsidRPr="0016235B">
              <w:rPr>
                <w:rFonts w:ascii="Candara" w:eastAsia="Times New Roman" w:hAnsi="Candara" w:cs="Times New Roman"/>
                <w:b w:val="0"/>
                <w:color w:val="000000"/>
                <w:sz w:val="24"/>
                <w:szCs w:val="24"/>
              </w:rPr>
              <w:t xml:space="preserve"> Health Centre IV</w:t>
            </w:r>
          </w:p>
        </w:tc>
        <w:tc>
          <w:tcPr>
            <w:tcW w:w="1170" w:type="dxa"/>
            <w:noWrap/>
            <w:hideMark/>
          </w:tcPr>
          <w:p w14:paraId="17DCBBE8"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Lira</w:t>
            </w:r>
          </w:p>
        </w:tc>
        <w:tc>
          <w:tcPr>
            <w:tcW w:w="4050" w:type="dxa"/>
            <w:noWrap/>
            <w:hideMark/>
          </w:tcPr>
          <w:p w14:paraId="0A217F90" w14:textId="77777777" w:rsidR="00891A61" w:rsidRPr="0016235B" w:rsidRDefault="00891A61" w:rsidP="00891A61">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891A61" w:rsidRPr="0016235B" w14:paraId="7BD5F081" w14:textId="77777777" w:rsidTr="001447E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7CB45F00" w14:textId="77777777" w:rsidR="00891A61" w:rsidRPr="0016235B" w:rsidRDefault="00891A61" w:rsidP="00891A61">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Kapelebyong</w:t>
            </w:r>
            <w:proofErr w:type="spellEnd"/>
            <w:r w:rsidRPr="0016235B">
              <w:rPr>
                <w:rFonts w:ascii="Candara" w:eastAsia="Times New Roman" w:hAnsi="Candara" w:cs="Times New Roman"/>
                <w:b w:val="0"/>
                <w:color w:val="000000"/>
                <w:sz w:val="24"/>
                <w:szCs w:val="24"/>
              </w:rPr>
              <w:t xml:space="preserve"> Health Centre IV</w:t>
            </w:r>
          </w:p>
        </w:tc>
        <w:tc>
          <w:tcPr>
            <w:tcW w:w="1170" w:type="dxa"/>
            <w:noWrap/>
            <w:hideMark/>
          </w:tcPr>
          <w:p w14:paraId="2EAD8082"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Amuria</w:t>
            </w:r>
            <w:proofErr w:type="spellEnd"/>
            <w:r w:rsidRPr="0016235B">
              <w:rPr>
                <w:rFonts w:ascii="Candara" w:eastAsia="Times New Roman" w:hAnsi="Candara" w:cs="Times New Roman"/>
                <w:color w:val="000000"/>
                <w:sz w:val="24"/>
                <w:szCs w:val="24"/>
              </w:rPr>
              <w:t xml:space="preserve"> </w:t>
            </w:r>
          </w:p>
        </w:tc>
        <w:tc>
          <w:tcPr>
            <w:tcW w:w="4050" w:type="dxa"/>
            <w:noWrap/>
            <w:hideMark/>
          </w:tcPr>
          <w:p w14:paraId="5127B84B" w14:textId="77777777" w:rsidR="00891A61" w:rsidRPr="0016235B" w:rsidRDefault="00891A61" w:rsidP="00891A61">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Government/Public</w:t>
            </w:r>
          </w:p>
        </w:tc>
      </w:tr>
      <w:tr w:rsidR="001447EA" w:rsidRPr="0016235B" w14:paraId="3426563C" w14:textId="77777777" w:rsidTr="001447EA">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1FE55A6E" w14:textId="6D11F8BA" w:rsidR="001447EA" w:rsidRPr="0016235B" w:rsidRDefault="001447EA" w:rsidP="001447EA">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St Joseph's health Clinic HC III</w:t>
            </w:r>
          </w:p>
        </w:tc>
        <w:tc>
          <w:tcPr>
            <w:tcW w:w="1170" w:type="dxa"/>
            <w:noWrap/>
            <w:hideMark/>
          </w:tcPr>
          <w:p w14:paraId="3CCAE542" w14:textId="77777777" w:rsidR="001447EA" w:rsidRPr="0016235B" w:rsidRDefault="001447EA" w:rsidP="001447EA">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050" w:type="dxa"/>
            <w:noWrap/>
            <w:hideMark/>
          </w:tcPr>
          <w:p w14:paraId="4EC9F0C3" w14:textId="77777777" w:rsidR="001447EA" w:rsidRPr="0016235B" w:rsidRDefault="001447EA" w:rsidP="001447EA">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1447EA" w:rsidRPr="0016235B" w14:paraId="5720540F" w14:textId="77777777" w:rsidTr="001447E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3DC71D21" w14:textId="77777777" w:rsidR="001447EA" w:rsidRPr="0016235B" w:rsidRDefault="001447EA" w:rsidP="001447EA">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Burere</w:t>
            </w:r>
            <w:proofErr w:type="spellEnd"/>
            <w:r w:rsidRPr="0016235B">
              <w:rPr>
                <w:rFonts w:ascii="Candara" w:eastAsia="Times New Roman" w:hAnsi="Candara" w:cs="Times New Roman"/>
                <w:b w:val="0"/>
                <w:color w:val="000000"/>
                <w:sz w:val="24"/>
                <w:szCs w:val="24"/>
              </w:rPr>
              <w:t xml:space="preserve"> Health Centre III</w:t>
            </w:r>
          </w:p>
        </w:tc>
        <w:tc>
          <w:tcPr>
            <w:tcW w:w="1170" w:type="dxa"/>
            <w:noWrap/>
            <w:hideMark/>
          </w:tcPr>
          <w:p w14:paraId="1AB552F5" w14:textId="77777777" w:rsidR="001447EA" w:rsidRPr="0016235B" w:rsidRDefault="001447EA" w:rsidP="001447EA">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Buhweju</w:t>
            </w:r>
            <w:proofErr w:type="spellEnd"/>
          </w:p>
        </w:tc>
        <w:tc>
          <w:tcPr>
            <w:tcW w:w="4050" w:type="dxa"/>
            <w:noWrap/>
            <w:hideMark/>
          </w:tcPr>
          <w:p w14:paraId="393C3DEC" w14:textId="77777777" w:rsidR="001447EA" w:rsidRPr="0016235B" w:rsidRDefault="001447EA" w:rsidP="001447EA">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1447EA" w:rsidRPr="0016235B" w14:paraId="1991CD17" w14:textId="77777777" w:rsidTr="001447EA">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0E45AEAD" w14:textId="751E290B" w:rsidR="001447EA" w:rsidRPr="0016235B" w:rsidRDefault="001447EA" w:rsidP="001447EA">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Nile Breweries Company Clinic HC III</w:t>
            </w:r>
          </w:p>
        </w:tc>
        <w:tc>
          <w:tcPr>
            <w:tcW w:w="1170" w:type="dxa"/>
            <w:noWrap/>
            <w:hideMark/>
          </w:tcPr>
          <w:p w14:paraId="224AD38E" w14:textId="77777777" w:rsidR="001447EA" w:rsidRPr="0016235B" w:rsidRDefault="001447EA" w:rsidP="001447EA">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Buikwe</w:t>
            </w:r>
            <w:proofErr w:type="spellEnd"/>
            <w:r w:rsidRPr="0016235B">
              <w:rPr>
                <w:rFonts w:ascii="Candara" w:eastAsia="Times New Roman" w:hAnsi="Candara" w:cs="Times New Roman"/>
                <w:color w:val="000000"/>
                <w:sz w:val="24"/>
                <w:szCs w:val="24"/>
              </w:rPr>
              <w:t xml:space="preserve"> </w:t>
            </w:r>
          </w:p>
        </w:tc>
        <w:tc>
          <w:tcPr>
            <w:tcW w:w="4050" w:type="dxa"/>
            <w:noWrap/>
            <w:hideMark/>
          </w:tcPr>
          <w:p w14:paraId="2BA2A49C" w14:textId="77777777" w:rsidR="001447EA" w:rsidRPr="0016235B" w:rsidRDefault="001447EA" w:rsidP="001447EA">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1447EA" w:rsidRPr="0016235B" w14:paraId="0664A0A4" w14:textId="77777777" w:rsidTr="001447E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0975ABB9" w14:textId="683B0085" w:rsidR="001447EA" w:rsidRPr="0016235B" w:rsidRDefault="001447EA" w:rsidP="001447EA">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St Joseph's health Clinic HC III</w:t>
            </w:r>
          </w:p>
        </w:tc>
        <w:tc>
          <w:tcPr>
            <w:tcW w:w="1170" w:type="dxa"/>
            <w:noWrap/>
            <w:hideMark/>
          </w:tcPr>
          <w:p w14:paraId="02498CD0" w14:textId="77777777" w:rsidR="001447EA" w:rsidRPr="0016235B" w:rsidRDefault="001447EA" w:rsidP="001447EA">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050" w:type="dxa"/>
            <w:noWrap/>
            <w:hideMark/>
          </w:tcPr>
          <w:p w14:paraId="5AABA84E" w14:textId="77777777" w:rsidR="001447EA" w:rsidRPr="0016235B" w:rsidRDefault="001447EA" w:rsidP="001447EA">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PNFP/NGO/FBO </w:t>
            </w:r>
          </w:p>
        </w:tc>
      </w:tr>
    </w:tbl>
    <w:p w14:paraId="5D64CC85" w14:textId="77777777" w:rsidR="00891A61" w:rsidRPr="0016235B" w:rsidRDefault="00891A61" w:rsidP="00815396">
      <w:pPr>
        <w:tabs>
          <w:tab w:val="left" w:pos="8400"/>
        </w:tabs>
        <w:rPr>
          <w:rFonts w:ascii="Candara" w:hAnsi="Candara"/>
          <w:sz w:val="24"/>
          <w:szCs w:val="24"/>
        </w:rPr>
      </w:pPr>
    </w:p>
    <w:p w14:paraId="7DFA0C59" w14:textId="1C221942" w:rsidR="001447EA" w:rsidRPr="0016235B" w:rsidRDefault="00FF58CC" w:rsidP="005722F2">
      <w:pPr>
        <w:pStyle w:val="Heading2"/>
        <w:numPr>
          <w:ilvl w:val="1"/>
          <w:numId w:val="25"/>
        </w:numPr>
        <w:rPr>
          <w:rFonts w:ascii="Candara" w:hAnsi="Candara"/>
          <w:b/>
          <w:sz w:val="28"/>
          <w:szCs w:val="28"/>
        </w:rPr>
      </w:pPr>
      <w:bookmarkStart w:id="76" w:name="_Toc11494081"/>
      <w:r w:rsidRPr="0016235B">
        <w:rPr>
          <w:rFonts w:ascii="Candara" w:hAnsi="Candara"/>
          <w:b/>
          <w:sz w:val="28"/>
          <w:szCs w:val="28"/>
        </w:rPr>
        <w:t>General Hospitals not offering TB services</w:t>
      </w:r>
      <w:bookmarkEnd w:id="76"/>
    </w:p>
    <w:tbl>
      <w:tblPr>
        <w:tblStyle w:val="PlainTable2"/>
        <w:tblW w:w="10040" w:type="dxa"/>
        <w:tblLook w:val="04A0" w:firstRow="1" w:lastRow="0" w:firstColumn="1" w:lastColumn="0" w:noHBand="0" w:noVBand="1"/>
      </w:tblPr>
      <w:tblGrid>
        <w:gridCol w:w="4590"/>
        <w:gridCol w:w="1260"/>
        <w:gridCol w:w="4190"/>
      </w:tblGrid>
      <w:tr w:rsidR="00FF58CC" w:rsidRPr="0016235B" w14:paraId="5FBD279E" w14:textId="77777777" w:rsidTr="00FF58C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6C3B4983" w14:textId="77777777" w:rsidR="00FF58CC" w:rsidRPr="0016235B" w:rsidRDefault="00FF58CC" w:rsidP="00FF58CC">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260" w:type="dxa"/>
            <w:noWrap/>
            <w:hideMark/>
          </w:tcPr>
          <w:p w14:paraId="39800C6B" w14:textId="77777777" w:rsidR="00FF58CC" w:rsidRPr="0016235B" w:rsidRDefault="00FF58CC" w:rsidP="00FF58CC">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4190" w:type="dxa"/>
            <w:noWrap/>
            <w:hideMark/>
          </w:tcPr>
          <w:p w14:paraId="00693905" w14:textId="77777777" w:rsidR="00FF58CC" w:rsidRPr="0016235B" w:rsidRDefault="00FF58CC" w:rsidP="00FF58CC">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FF58CC" w:rsidRPr="0016235B" w14:paraId="1500399E" w14:textId="77777777" w:rsidTr="00FF58C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76A5B815" w14:textId="77777777" w:rsidR="00FF58CC" w:rsidRPr="0016235B" w:rsidRDefault="00FF58CC" w:rsidP="00FF58C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Kampala </w:t>
            </w:r>
            <w:proofErr w:type="gramStart"/>
            <w:r w:rsidRPr="0016235B">
              <w:rPr>
                <w:rFonts w:ascii="Candara" w:eastAsia="Times New Roman" w:hAnsi="Candara" w:cs="Times New Roman"/>
                <w:b w:val="0"/>
                <w:color w:val="000000"/>
                <w:sz w:val="24"/>
                <w:szCs w:val="24"/>
              </w:rPr>
              <w:t>Independent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4E93E421"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190" w:type="dxa"/>
            <w:noWrap/>
            <w:hideMark/>
          </w:tcPr>
          <w:p w14:paraId="1AA3B26A"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FF58CC" w:rsidRPr="0016235B" w14:paraId="495F6D11" w14:textId="77777777" w:rsidTr="00FF58CC">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44AF2336" w14:textId="77777777" w:rsidR="00FF58CC" w:rsidRPr="0016235B" w:rsidRDefault="00FF58CC" w:rsidP="00FF58CC">
            <w:pPr>
              <w:rPr>
                <w:rFonts w:ascii="Candara" w:eastAsia="Times New Roman" w:hAnsi="Candara" w:cs="Times New Roman"/>
                <w:b w:val="0"/>
                <w:color w:val="000000"/>
                <w:sz w:val="24"/>
                <w:szCs w:val="24"/>
              </w:rPr>
            </w:pPr>
            <w:proofErr w:type="gramStart"/>
            <w:r w:rsidRPr="0016235B">
              <w:rPr>
                <w:rFonts w:ascii="Candara" w:eastAsia="Times New Roman" w:hAnsi="Candara" w:cs="Times New Roman"/>
                <w:b w:val="0"/>
                <w:color w:val="000000"/>
                <w:sz w:val="24"/>
                <w:szCs w:val="24"/>
              </w:rPr>
              <w:t>Rhema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0DE6AD08"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proofErr w:type="spellStart"/>
            <w:r w:rsidRPr="0016235B">
              <w:rPr>
                <w:rFonts w:ascii="Candara" w:eastAsia="Times New Roman" w:hAnsi="Candara" w:cs="Times New Roman"/>
                <w:color w:val="000000"/>
                <w:sz w:val="24"/>
                <w:szCs w:val="24"/>
              </w:rPr>
              <w:t>Arua</w:t>
            </w:r>
            <w:proofErr w:type="spellEnd"/>
          </w:p>
        </w:tc>
        <w:tc>
          <w:tcPr>
            <w:tcW w:w="4190" w:type="dxa"/>
            <w:noWrap/>
            <w:hideMark/>
          </w:tcPr>
          <w:p w14:paraId="6588BA49"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FF58CC" w:rsidRPr="0016235B" w14:paraId="04F35519" w14:textId="77777777" w:rsidTr="00FF58C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6CE80A40" w14:textId="77777777" w:rsidR="00FF58CC" w:rsidRPr="0016235B" w:rsidRDefault="00FF58CC" w:rsidP="00FF58CC">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Jrc</w:t>
            </w:r>
            <w:proofErr w:type="spellEnd"/>
            <w:r w:rsidRPr="0016235B">
              <w:rPr>
                <w:rFonts w:ascii="Candara" w:eastAsia="Times New Roman" w:hAnsi="Candara" w:cs="Times New Roman"/>
                <w:b w:val="0"/>
                <w:color w:val="000000"/>
                <w:sz w:val="24"/>
                <w:szCs w:val="24"/>
              </w:rPr>
              <w:t xml:space="preserve"> Medical </w:t>
            </w:r>
            <w:proofErr w:type="gramStart"/>
            <w:r w:rsidRPr="0016235B">
              <w:rPr>
                <w:rFonts w:ascii="Candara" w:eastAsia="Times New Roman" w:hAnsi="Candara" w:cs="Times New Roman"/>
                <w:b w:val="0"/>
                <w:color w:val="000000"/>
                <w:sz w:val="24"/>
                <w:szCs w:val="24"/>
              </w:rPr>
              <w:t>Chambers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1CDE3ABB"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Tororo</w:t>
            </w:r>
          </w:p>
        </w:tc>
        <w:tc>
          <w:tcPr>
            <w:tcW w:w="4190" w:type="dxa"/>
            <w:noWrap/>
            <w:hideMark/>
          </w:tcPr>
          <w:p w14:paraId="147FC69E"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FF58CC" w:rsidRPr="0016235B" w14:paraId="01D9A734" w14:textId="77777777" w:rsidTr="00FF58CC">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06144E51" w14:textId="77777777" w:rsidR="00FF58CC" w:rsidRPr="0016235B" w:rsidRDefault="00FF58CC" w:rsidP="00FF58C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Devine </w:t>
            </w:r>
            <w:proofErr w:type="gramStart"/>
            <w:r w:rsidRPr="0016235B">
              <w:rPr>
                <w:rFonts w:ascii="Candara" w:eastAsia="Times New Roman" w:hAnsi="Candara" w:cs="Times New Roman"/>
                <w:b w:val="0"/>
                <w:color w:val="000000"/>
                <w:sz w:val="24"/>
                <w:szCs w:val="24"/>
              </w:rPr>
              <w:t>Mercy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540D2FAC"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Mbarara</w:t>
            </w:r>
          </w:p>
        </w:tc>
        <w:tc>
          <w:tcPr>
            <w:tcW w:w="4190" w:type="dxa"/>
            <w:noWrap/>
            <w:hideMark/>
          </w:tcPr>
          <w:p w14:paraId="18EAC6CF"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PNFP/NGO/FBO</w:t>
            </w:r>
          </w:p>
        </w:tc>
      </w:tr>
      <w:tr w:rsidR="00FF58CC" w:rsidRPr="0016235B" w14:paraId="4B0D58D1" w14:textId="77777777" w:rsidTr="00FF58C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15F02B9E" w14:textId="77777777" w:rsidR="00FF58CC" w:rsidRPr="0016235B" w:rsidRDefault="00FF58CC" w:rsidP="00FF58CC">
            <w:pPr>
              <w:rPr>
                <w:rFonts w:ascii="Candara" w:eastAsia="Times New Roman" w:hAnsi="Candara" w:cs="Times New Roman"/>
                <w:b w:val="0"/>
                <w:color w:val="000000"/>
                <w:sz w:val="24"/>
                <w:szCs w:val="24"/>
              </w:rPr>
            </w:pPr>
            <w:proofErr w:type="gramStart"/>
            <w:r w:rsidRPr="0016235B">
              <w:rPr>
                <w:rFonts w:ascii="Candara" w:eastAsia="Times New Roman" w:hAnsi="Candara" w:cs="Times New Roman"/>
                <w:b w:val="0"/>
                <w:color w:val="000000"/>
                <w:sz w:val="24"/>
                <w:szCs w:val="24"/>
              </w:rPr>
              <w:t>Victoria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39C608F2"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190" w:type="dxa"/>
            <w:noWrap/>
            <w:hideMark/>
          </w:tcPr>
          <w:p w14:paraId="7D51ED66"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FF58CC" w:rsidRPr="0016235B" w14:paraId="222C645E" w14:textId="77777777" w:rsidTr="00FF58CC">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5A152004" w14:textId="77777777" w:rsidR="00FF58CC" w:rsidRPr="0016235B" w:rsidRDefault="00FF58CC" w:rsidP="00FF58CC">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Medik</w:t>
            </w:r>
            <w:proofErr w:type="spellEnd"/>
            <w:r w:rsidRPr="0016235B">
              <w:rPr>
                <w:rFonts w:ascii="Candara" w:eastAsia="Times New Roman" w:hAnsi="Candara" w:cs="Times New Roman"/>
                <w:b w:val="0"/>
                <w:color w:val="000000"/>
                <w:sz w:val="24"/>
                <w:szCs w:val="24"/>
              </w:rPr>
              <w:t xml:space="preserve">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777A2E57"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190" w:type="dxa"/>
            <w:noWrap/>
            <w:hideMark/>
          </w:tcPr>
          <w:p w14:paraId="2550A73C"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FF58CC" w:rsidRPr="0016235B" w14:paraId="6746A9B2" w14:textId="77777777" w:rsidTr="00FF58C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1C132D23" w14:textId="77777777" w:rsidR="00FF58CC" w:rsidRPr="0016235B" w:rsidRDefault="00FF58CC" w:rsidP="00FF58C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Divine </w:t>
            </w:r>
            <w:proofErr w:type="gramStart"/>
            <w:r w:rsidRPr="0016235B">
              <w:rPr>
                <w:rFonts w:ascii="Candara" w:eastAsia="Times New Roman" w:hAnsi="Candara" w:cs="Times New Roman"/>
                <w:b w:val="0"/>
                <w:color w:val="000000"/>
                <w:sz w:val="24"/>
                <w:szCs w:val="24"/>
              </w:rPr>
              <w:t>Mercy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26B75A07"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Tororo </w:t>
            </w:r>
          </w:p>
        </w:tc>
        <w:tc>
          <w:tcPr>
            <w:tcW w:w="4190" w:type="dxa"/>
            <w:noWrap/>
            <w:hideMark/>
          </w:tcPr>
          <w:p w14:paraId="63058EDD"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r w:rsidR="00FF58CC" w:rsidRPr="0016235B" w14:paraId="2F52CE9D" w14:textId="77777777" w:rsidTr="00FF58CC">
        <w:trPr>
          <w:trHeight w:val="300"/>
        </w:trPr>
        <w:tc>
          <w:tcPr>
            <w:cnfStyle w:val="001000000000" w:firstRow="0" w:lastRow="0" w:firstColumn="1" w:lastColumn="0" w:oddVBand="0" w:evenVBand="0" w:oddHBand="0" w:evenHBand="0" w:firstRowFirstColumn="0" w:firstRowLastColumn="0" w:lastRowFirstColumn="0" w:lastRowLastColumn="0"/>
            <w:tcW w:w="4590" w:type="dxa"/>
            <w:noWrap/>
            <w:hideMark/>
          </w:tcPr>
          <w:p w14:paraId="1CE903B5" w14:textId="77777777" w:rsidR="00FF58CC" w:rsidRPr="0016235B" w:rsidRDefault="00FF58CC" w:rsidP="00FF58CC">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Norvick</w:t>
            </w:r>
            <w:proofErr w:type="spellEnd"/>
            <w:r w:rsidRPr="0016235B">
              <w:rPr>
                <w:rFonts w:ascii="Candara" w:eastAsia="Times New Roman" w:hAnsi="Candara" w:cs="Times New Roman"/>
                <w:b w:val="0"/>
                <w:color w:val="000000"/>
                <w:sz w:val="24"/>
                <w:szCs w:val="24"/>
              </w:rPr>
              <w:t xml:space="preserve">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323FFBC4"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190" w:type="dxa"/>
            <w:noWrap/>
            <w:hideMark/>
          </w:tcPr>
          <w:p w14:paraId="5BAA4CD8"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Private Health Practitioner (PHP)</w:t>
            </w:r>
          </w:p>
        </w:tc>
      </w:tr>
    </w:tbl>
    <w:p w14:paraId="4B489838" w14:textId="77777777" w:rsidR="00A50AD6" w:rsidRPr="0016235B" w:rsidRDefault="00A50AD6" w:rsidP="00815396">
      <w:pPr>
        <w:tabs>
          <w:tab w:val="left" w:pos="8400"/>
        </w:tabs>
        <w:rPr>
          <w:rFonts w:ascii="Candara" w:hAnsi="Candara"/>
          <w:sz w:val="24"/>
          <w:szCs w:val="24"/>
        </w:rPr>
      </w:pPr>
    </w:p>
    <w:p w14:paraId="35C0B48A" w14:textId="77777777" w:rsidR="00A50AD6" w:rsidRPr="0016235B" w:rsidRDefault="00A50AD6" w:rsidP="005722F2">
      <w:pPr>
        <w:pStyle w:val="Heading2"/>
        <w:numPr>
          <w:ilvl w:val="1"/>
          <w:numId w:val="25"/>
        </w:numPr>
        <w:rPr>
          <w:rFonts w:ascii="Candara" w:hAnsi="Candara"/>
          <w:b/>
          <w:sz w:val="28"/>
          <w:szCs w:val="28"/>
        </w:rPr>
      </w:pPr>
      <w:bookmarkStart w:id="77" w:name="_Toc11494082"/>
      <w:r w:rsidRPr="0016235B">
        <w:rPr>
          <w:rFonts w:ascii="Candara" w:hAnsi="Candara"/>
          <w:b/>
          <w:sz w:val="28"/>
          <w:szCs w:val="28"/>
        </w:rPr>
        <w:t>HC IIIs and HC IIs not offering malaria services</w:t>
      </w:r>
      <w:bookmarkEnd w:id="77"/>
    </w:p>
    <w:tbl>
      <w:tblPr>
        <w:tblStyle w:val="PlainTable2"/>
        <w:tblW w:w="9720" w:type="dxa"/>
        <w:tblLook w:val="04A0" w:firstRow="1" w:lastRow="0" w:firstColumn="1" w:lastColumn="0" w:noHBand="0" w:noVBand="1"/>
      </w:tblPr>
      <w:tblGrid>
        <w:gridCol w:w="4500"/>
        <w:gridCol w:w="1170"/>
        <w:gridCol w:w="4050"/>
      </w:tblGrid>
      <w:tr w:rsidR="00A50AD6" w:rsidRPr="0016235B" w14:paraId="1D666E07" w14:textId="77777777" w:rsidTr="0019054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0" w:type="dxa"/>
            <w:noWrap/>
            <w:hideMark/>
          </w:tcPr>
          <w:p w14:paraId="3CDAE587" w14:textId="77777777" w:rsidR="00A50AD6" w:rsidRPr="0016235B" w:rsidRDefault="00A50AD6" w:rsidP="0019054C">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170" w:type="dxa"/>
            <w:noWrap/>
            <w:hideMark/>
          </w:tcPr>
          <w:p w14:paraId="34A44C40" w14:textId="77777777" w:rsidR="00A50AD6" w:rsidRPr="0016235B" w:rsidRDefault="00A50AD6" w:rsidP="0019054C">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4050" w:type="dxa"/>
            <w:noWrap/>
            <w:hideMark/>
          </w:tcPr>
          <w:p w14:paraId="1E0E15C8" w14:textId="77777777" w:rsidR="00A50AD6" w:rsidRPr="0016235B" w:rsidRDefault="00A50AD6" w:rsidP="0019054C">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A50AD6" w:rsidRPr="0016235B" w14:paraId="0CF34873" w14:textId="77777777" w:rsidTr="001905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D97CA3F" w14:textId="77777777" w:rsidR="00A50AD6" w:rsidRPr="0016235B" w:rsidRDefault="00A50AD6" w:rsidP="0019054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Adventist Medical Centre HC III</w:t>
            </w:r>
          </w:p>
        </w:tc>
        <w:tc>
          <w:tcPr>
            <w:tcW w:w="1170" w:type="dxa"/>
            <w:noWrap/>
            <w:hideMark/>
          </w:tcPr>
          <w:p w14:paraId="4336CC92" w14:textId="77777777" w:rsidR="00A50AD6" w:rsidRPr="0016235B" w:rsidRDefault="00A50AD6" w:rsidP="0019054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050" w:type="dxa"/>
            <w:noWrap/>
            <w:hideMark/>
          </w:tcPr>
          <w:p w14:paraId="2852D648" w14:textId="77777777" w:rsidR="00A50AD6" w:rsidRPr="0016235B" w:rsidRDefault="00A50AD6" w:rsidP="0019054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PNFP/NGO/FBO </w:t>
            </w:r>
          </w:p>
        </w:tc>
      </w:tr>
      <w:tr w:rsidR="00A50AD6" w:rsidRPr="0016235B" w14:paraId="7296080D" w14:textId="77777777" w:rsidTr="0019054C">
        <w:trPr>
          <w:trHeight w:val="300"/>
        </w:trPr>
        <w:tc>
          <w:tcPr>
            <w:cnfStyle w:val="001000000000" w:firstRow="0" w:lastRow="0" w:firstColumn="1" w:lastColumn="0" w:oddVBand="0" w:evenVBand="0" w:oddHBand="0" w:evenHBand="0" w:firstRowFirstColumn="0" w:firstRowLastColumn="0" w:lastRowFirstColumn="0" w:lastRowLastColumn="0"/>
            <w:tcW w:w="4500" w:type="dxa"/>
            <w:noWrap/>
            <w:hideMark/>
          </w:tcPr>
          <w:p w14:paraId="6C2F1168" w14:textId="77777777" w:rsidR="00A50AD6" w:rsidRPr="0016235B" w:rsidRDefault="00A50AD6" w:rsidP="0019054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 xml:space="preserve">Touch </w:t>
            </w:r>
            <w:proofErr w:type="spellStart"/>
            <w:r w:rsidRPr="0016235B">
              <w:rPr>
                <w:rFonts w:ascii="Candara" w:eastAsia="Times New Roman" w:hAnsi="Candara" w:cs="Times New Roman"/>
                <w:b w:val="0"/>
                <w:color w:val="000000"/>
                <w:sz w:val="24"/>
                <w:szCs w:val="24"/>
              </w:rPr>
              <w:t>Namuwongo</w:t>
            </w:r>
            <w:proofErr w:type="spellEnd"/>
            <w:r w:rsidRPr="0016235B">
              <w:rPr>
                <w:rFonts w:ascii="Candara" w:eastAsia="Times New Roman" w:hAnsi="Candara" w:cs="Times New Roman"/>
                <w:b w:val="0"/>
                <w:color w:val="000000"/>
                <w:sz w:val="24"/>
                <w:szCs w:val="24"/>
              </w:rPr>
              <w:t xml:space="preserve"> Clinic HC II</w:t>
            </w:r>
          </w:p>
        </w:tc>
        <w:tc>
          <w:tcPr>
            <w:tcW w:w="1170" w:type="dxa"/>
            <w:noWrap/>
            <w:hideMark/>
          </w:tcPr>
          <w:p w14:paraId="64BBB45F" w14:textId="77777777" w:rsidR="00A50AD6" w:rsidRPr="0016235B" w:rsidRDefault="00A50AD6" w:rsidP="0019054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050" w:type="dxa"/>
            <w:noWrap/>
            <w:hideMark/>
          </w:tcPr>
          <w:p w14:paraId="10038871" w14:textId="77777777" w:rsidR="00A50AD6" w:rsidRPr="0016235B" w:rsidRDefault="00A50AD6" w:rsidP="0019054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r w:rsidR="00A50AD6" w:rsidRPr="0016235B" w14:paraId="5AF9EA17" w14:textId="77777777" w:rsidTr="001905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0" w:type="dxa"/>
            <w:noWrap/>
            <w:hideMark/>
          </w:tcPr>
          <w:p w14:paraId="00BFD2FD" w14:textId="77777777" w:rsidR="00A50AD6" w:rsidRPr="0016235B" w:rsidRDefault="00A50AD6" w:rsidP="0019054C">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Bwengure</w:t>
            </w:r>
            <w:proofErr w:type="spellEnd"/>
            <w:r w:rsidRPr="0016235B">
              <w:rPr>
                <w:rFonts w:ascii="Candara" w:eastAsia="Times New Roman" w:hAnsi="Candara" w:cs="Times New Roman"/>
                <w:b w:val="0"/>
                <w:color w:val="000000"/>
                <w:sz w:val="24"/>
                <w:szCs w:val="24"/>
              </w:rPr>
              <w:t xml:space="preserve">  HC</w:t>
            </w:r>
            <w:proofErr w:type="gramEnd"/>
            <w:r w:rsidRPr="0016235B">
              <w:rPr>
                <w:rFonts w:ascii="Candara" w:eastAsia="Times New Roman" w:hAnsi="Candara" w:cs="Times New Roman"/>
                <w:b w:val="0"/>
                <w:color w:val="000000"/>
                <w:sz w:val="24"/>
                <w:szCs w:val="24"/>
              </w:rPr>
              <w:t xml:space="preserve"> II</w:t>
            </w:r>
          </w:p>
        </w:tc>
        <w:tc>
          <w:tcPr>
            <w:tcW w:w="1170" w:type="dxa"/>
            <w:noWrap/>
            <w:hideMark/>
          </w:tcPr>
          <w:p w14:paraId="5A0DD58D" w14:textId="77777777" w:rsidR="00A50AD6" w:rsidRPr="0016235B" w:rsidRDefault="00A50AD6" w:rsidP="0019054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Mbarara</w:t>
            </w:r>
          </w:p>
        </w:tc>
        <w:tc>
          <w:tcPr>
            <w:tcW w:w="4050" w:type="dxa"/>
            <w:noWrap/>
            <w:hideMark/>
          </w:tcPr>
          <w:p w14:paraId="5FC6716A" w14:textId="77777777" w:rsidR="00A50AD6" w:rsidRPr="0016235B" w:rsidRDefault="00A50AD6" w:rsidP="0019054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bl>
    <w:p w14:paraId="4096547D" w14:textId="77777777" w:rsidR="00A50AD6" w:rsidRPr="0016235B" w:rsidRDefault="00A50AD6" w:rsidP="00A50AD6">
      <w:pPr>
        <w:tabs>
          <w:tab w:val="left" w:pos="8400"/>
        </w:tabs>
        <w:rPr>
          <w:rFonts w:ascii="Candara" w:hAnsi="Candara"/>
          <w:sz w:val="24"/>
          <w:szCs w:val="24"/>
        </w:rPr>
      </w:pPr>
    </w:p>
    <w:p w14:paraId="3B0479C8" w14:textId="77777777" w:rsidR="00A50AD6" w:rsidRPr="0016235B" w:rsidRDefault="00A50AD6" w:rsidP="00815396">
      <w:pPr>
        <w:tabs>
          <w:tab w:val="left" w:pos="8400"/>
        </w:tabs>
        <w:rPr>
          <w:rFonts w:ascii="Candara" w:hAnsi="Candara"/>
          <w:sz w:val="24"/>
          <w:szCs w:val="24"/>
        </w:rPr>
      </w:pPr>
    </w:p>
    <w:p w14:paraId="632FC75A" w14:textId="0E4D3EC1" w:rsidR="00FF58CC" w:rsidRPr="0016235B" w:rsidRDefault="009E2507" w:rsidP="005722F2">
      <w:pPr>
        <w:pStyle w:val="Heading2"/>
        <w:numPr>
          <w:ilvl w:val="1"/>
          <w:numId w:val="25"/>
        </w:numPr>
        <w:rPr>
          <w:rFonts w:ascii="Candara" w:hAnsi="Candara"/>
          <w:b/>
          <w:sz w:val="28"/>
          <w:szCs w:val="28"/>
        </w:rPr>
      </w:pPr>
      <w:bookmarkStart w:id="78" w:name="_Toc11494083"/>
      <w:r w:rsidRPr="0016235B">
        <w:rPr>
          <w:rFonts w:ascii="Candara" w:hAnsi="Candara"/>
          <w:b/>
          <w:sz w:val="28"/>
          <w:szCs w:val="28"/>
        </w:rPr>
        <w:t>RRHs</w:t>
      </w:r>
      <w:r w:rsidR="0084048E" w:rsidRPr="0016235B">
        <w:rPr>
          <w:rFonts w:ascii="Candara" w:hAnsi="Candara"/>
          <w:b/>
          <w:sz w:val="28"/>
          <w:szCs w:val="28"/>
        </w:rPr>
        <w:t xml:space="preserve">, General Hospitals </w:t>
      </w:r>
      <w:r w:rsidR="00FF58CC" w:rsidRPr="0016235B">
        <w:rPr>
          <w:rFonts w:ascii="Candara" w:hAnsi="Candara"/>
          <w:b/>
          <w:sz w:val="28"/>
          <w:szCs w:val="28"/>
        </w:rPr>
        <w:t>not offering blood transfusion services</w:t>
      </w:r>
      <w:bookmarkEnd w:id="78"/>
    </w:p>
    <w:tbl>
      <w:tblPr>
        <w:tblStyle w:val="PlainTable2"/>
        <w:tblW w:w="9360" w:type="dxa"/>
        <w:tblLook w:val="04A0" w:firstRow="1" w:lastRow="0" w:firstColumn="1" w:lastColumn="0" w:noHBand="0" w:noVBand="1"/>
      </w:tblPr>
      <w:tblGrid>
        <w:gridCol w:w="4050"/>
        <w:gridCol w:w="1260"/>
        <w:gridCol w:w="4050"/>
      </w:tblGrid>
      <w:tr w:rsidR="00FF58CC" w:rsidRPr="0016235B" w14:paraId="6BF58180" w14:textId="77777777" w:rsidTr="00FF58C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64346249" w14:textId="77777777" w:rsidR="00FF58CC" w:rsidRPr="0016235B" w:rsidRDefault="00FF58CC" w:rsidP="00FF58CC">
            <w:pPr>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Name of Facility</w:t>
            </w:r>
          </w:p>
        </w:tc>
        <w:tc>
          <w:tcPr>
            <w:tcW w:w="1260" w:type="dxa"/>
            <w:noWrap/>
            <w:hideMark/>
          </w:tcPr>
          <w:p w14:paraId="48AB87B9" w14:textId="77777777" w:rsidR="00FF58CC" w:rsidRPr="0016235B" w:rsidRDefault="00FF58CC" w:rsidP="00FF58CC">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District</w:t>
            </w:r>
          </w:p>
        </w:tc>
        <w:tc>
          <w:tcPr>
            <w:tcW w:w="4050" w:type="dxa"/>
            <w:noWrap/>
            <w:hideMark/>
          </w:tcPr>
          <w:p w14:paraId="7782B20D" w14:textId="77777777" w:rsidR="00FF58CC" w:rsidRPr="0016235B" w:rsidRDefault="00FF58CC" w:rsidP="00FF58CC">
            <w:pPr>
              <w:cnfStyle w:val="100000000000" w:firstRow="1"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Managing Authority</w:t>
            </w:r>
          </w:p>
        </w:tc>
      </w:tr>
      <w:tr w:rsidR="00FF58CC" w:rsidRPr="0016235B" w14:paraId="59BB983A" w14:textId="77777777" w:rsidTr="00FF58C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4475F12E" w14:textId="77777777" w:rsidR="00FF58CC" w:rsidRPr="0016235B" w:rsidRDefault="00FF58CC" w:rsidP="00FF58C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Soroti Regional Referral Hospital</w:t>
            </w:r>
          </w:p>
        </w:tc>
        <w:tc>
          <w:tcPr>
            <w:tcW w:w="1260" w:type="dxa"/>
            <w:noWrap/>
            <w:hideMark/>
          </w:tcPr>
          <w:p w14:paraId="7BB237EA"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Soroti</w:t>
            </w:r>
          </w:p>
        </w:tc>
        <w:tc>
          <w:tcPr>
            <w:tcW w:w="4050" w:type="dxa"/>
            <w:noWrap/>
            <w:hideMark/>
          </w:tcPr>
          <w:p w14:paraId="7F1813C6"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Government/Public</w:t>
            </w:r>
          </w:p>
        </w:tc>
      </w:tr>
      <w:tr w:rsidR="00FF58CC" w:rsidRPr="0016235B" w14:paraId="36ACD7FF" w14:textId="77777777" w:rsidTr="00FF58CC">
        <w:trPr>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1F8952F1" w14:textId="77777777" w:rsidR="00FF58CC" w:rsidRPr="0016235B" w:rsidRDefault="00FF58CC" w:rsidP="00FF58C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Makerere University Hospital</w:t>
            </w:r>
          </w:p>
        </w:tc>
        <w:tc>
          <w:tcPr>
            <w:tcW w:w="1260" w:type="dxa"/>
            <w:noWrap/>
            <w:hideMark/>
          </w:tcPr>
          <w:p w14:paraId="723F9F72"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Kampala</w:t>
            </w:r>
          </w:p>
        </w:tc>
        <w:tc>
          <w:tcPr>
            <w:tcW w:w="4050" w:type="dxa"/>
            <w:noWrap/>
            <w:hideMark/>
          </w:tcPr>
          <w:p w14:paraId="0DD4C597"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 Government/Public</w:t>
            </w:r>
          </w:p>
        </w:tc>
      </w:tr>
      <w:tr w:rsidR="00FF58CC" w:rsidRPr="0016235B" w14:paraId="050AFC91" w14:textId="77777777" w:rsidTr="00FF58C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1FE71693" w14:textId="77777777" w:rsidR="00FF58CC" w:rsidRPr="0016235B" w:rsidRDefault="00FF58CC" w:rsidP="00FF58CC">
            <w:pPr>
              <w:rPr>
                <w:rFonts w:ascii="Candara" w:eastAsia="Times New Roman" w:hAnsi="Candara" w:cs="Times New Roman"/>
                <w:b w:val="0"/>
                <w:color w:val="000000"/>
                <w:sz w:val="24"/>
                <w:szCs w:val="24"/>
              </w:rPr>
            </w:pPr>
            <w:r w:rsidRPr="0016235B">
              <w:rPr>
                <w:rFonts w:ascii="Candara" w:eastAsia="Times New Roman" w:hAnsi="Candara" w:cs="Times New Roman"/>
                <w:b w:val="0"/>
                <w:color w:val="000000"/>
                <w:sz w:val="24"/>
                <w:szCs w:val="24"/>
              </w:rPr>
              <w:t>Family Care General Hospital</w:t>
            </w:r>
          </w:p>
        </w:tc>
        <w:tc>
          <w:tcPr>
            <w:tcW w:w="1260" w:type="dxa"/>
            <w:noWrap/>
            <w:hideMark/>
          </w:tcPr>
          <w:p w14:paraId="7F59BD12"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050" w:type="dxa"/>
            <w:noWrap/>
            <w:hideMark/>
          </w:tcPr>
          <w:p w14:paraId="30B75A2B"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PNFP/NGO/FBO</w:t>
            </w:r>
          </w:p>
        </w:tc>
      </w:tr>
      <w:tr w:rsidR="00FF58CC" w:rsidRPr="0016235B" w14:paraId="547D9D9B" w14:textId="77777777" w:rsidTr="00FF58CC">
        <w:trPr>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1187EB18" w14:textId="77777777" w:rsidR="00FF58CC" w:rsidRPr="0016235B" w:rsidRDefault="00FF58CC" w:rsidP="00FF58CC">
            <w:pPr>
              <w:rPr>
                <w:rFonts w:ascii="Candara" w:eastAsia="Times New Roman" w:hAnsi="Candara" w:cs="Times New Roman"/>
                <w:b w:val="0"/>
                <w:color w:val="000000"/>
                <w:sz w:val="24"/>
                <w:szCs w:val="24"/>
              </w:rPr>
            </w:pPr>
            <w:proofErr w:type="spellStart"/>
            <w:r w:rsidRPr="0016235B">
              <w:rPr>
                <w:rFonts w:ascii="Candara" w:eastAsia="Times New Roman" w:hAnsi="Candara" w:cs="Times New Roman"/>
                <w:b w:val="0"/>
                <w:color w:val="000000"/>
                <w:sz w:val="24"/>
                <w:szCs w:val="24"/>
              </w:rPr>
              <w:t>Rubongi</w:t>
            </w:r>
            <w:proofErr w:type="spellEnd"/>
            <w:r w:rsidRPr="0016235B">
              <w:rPr>
                <w:rFonts w:ascii="Candara" w:eastAsia="Times New Roman" w:hAnsi="Candara" w:cs="Times New Roman"/>
                <w:b w:val="0"/>
                <w:color w:val="000000"/>
                <w:sz w:val="24"/>
                <w:szCs w:val="24"/>
              </w:rPr>
              <w:t xml:space="preserve"> Military General Hospital</w:t>
            </w:r>
          </w:p>
        </w:tc>
        <w:tc>
          <w:tcPr>
            <w:tcW w:w="1260" w:type="dxa"/>
            <w:noWrap/>
            <w:hideMark/>
          </w:tcPr>
          <w:p w14:paraId="2652B5D6"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Tororo</w:t>
            </w:r>
          </w:p>
        </w:tc>
        <w:tc>
          <w:tcPr>
            <w:tcW w:w="4050" w:type="dxa"/>
            <w:noWrap/>
            <w:hideMark/>
          </w:tcPr>
          <w:p w14:paraId="4E169C79" w14:textId="77777777" w:rsidR="00FF58CC" w:rsidRPr="0016235B" w:rsidRDefault="00FF58CC" w:rsidP="00FF58CC">
            <w:pPr>
              <w:cnfStyle w:val="000000000000" w:firstRow="0" w:lastRow="0" w:firstColumn="0" w:lastColumn="0" w:oddVBand="0" w:evenVBand="0" w:oddHBand="0"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Government/Public </w:t>
            </w:r>
          </w:p>
        </w:tc>
      </w:tr>
      <w:tr w:rsidR="00FF58CC" w:rsidRPr="0016235B" w14:paraId="237DD5EF" w14:textId="77777777" w:rsidTr="00FF58C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50" w:type="dxa"/>
            <w:noWrap/>
            <w:hideMark/>
          </w:tcPr>
          <w:p w14:paraId="7214205E" w14:textId="77777777" w:rsidR="00FF58CC" w:rsidRPr="0016235B" w:rsidRDefault="00FF58CC" w:rsidP="00FF58CC">
            <w:pPr>
              <w:rPr>
                <w:rFonts w:ascii="Candara" w:eastAsia="Times New Roman" w:hAnsi="Candara" w:cs="Times New Roman"/>
                <w:b w:val="0"/>
                <w:color w:val="000000"/>
                <w:sz w:val="24"/>
                <w:szCs w:val="24"/>
              </w:rPr>
            </w:pPr>
            <w:proofErr w:type="spellStart"/>
            <w:proofErr w:type="gramStart"/>
            <w:r w:rsidRPr="0016235B">
              <w:rPr>
                <w:rFonts w:ascii="Candara" w:eastAsia="Times New Roman" w:hAnsi="Candara" w:cs="Times New Roman"/>
                <w:b w:val="0"/>
                <w:color w:val="000000"/>
                <w:sz w:val="24"/>
                <w:szCs w:val="24"/>
              </w:rPr>
              <w:t>Medik</w:t>
            </w:r>
            <w:proofErr w:type="spellEnd"/>
            <w:r w:rsidRPr="0016235B">
              <w:rPr>
                <w:rFonts w:ascii="Candara" w:eastAsia="Times New Roman" w:hAnsi="Candara" w:cs="Times New Roman"/>
                <w:b w:val="0"/>
                <w:color w:val="000000"/>
                <w:sz w:val="24"/>
                <w:szCs w:val="24"/>
              </w:rPr>
              <w:t xml:space="preserve">  General</w:t>
            </w:r>
            <w:proofErr w:type="gramEnd"/>
            <w:r w:rsidRPr="0016235B">
              <w:rPr>
                <w:rFonts w:ascii="Candara" w:eastAsia="Times New Roman" w:hAnsi="Candara" w:cs="Times New Roman"/>
                <w:b w:val="0"/>
                <w:color w:val="000000"/>
                <w:sz w:val="24"/>
                <w:szCs w:val="24"/>
              </w:rPr>
              <w:t xml:space="preserve"> Hospital</w:t>
            </w:r>
          </w:p>
        </w:tc>
        <w:tc>
          <w:tcPr>
            <w:tcW w:w="1260" w:type="dxa"/>
            <w:noWrap/>
            <w:hideMark/>
          </w:tcPr>
          <w:p w14:paraId="092AA6EB"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Wakiso</w:t>
            </w:r>
          </w:p>
        </w:tc>
        <w:tc>
          <w:tcPr>
            <w:tcW w:w="4050" w:type="dxa"/>
            <w:noWrap/>
            <w:hideMark/>
          </w:tcPr>
          <w:p w14:paraId="44524715" w14:textId="77777777" w:rsidR="00FF58CC" w:rsidRPr="0016235B" w:rsidRDefault="00FF58CC" w:rsidP="00FF58CC">
            <w:pPr>
              <w:cnfStyle w:val="000000100000" w:firstRow="0" w:lastRow="0" w:firstColumn="0" w:lastColumn="0" w:oddVBand="0" w:evenVBand="0" w:oddHBand="1" w:evenHBand="0" w:firstRowFirstColumn="0" w:firstRowLastColumn="0" w:lastRowFirstColumn="0" w:lastRowLastColumn="0"/>
              <w:rPr>
                <w:rFonts w:ascii="Candara" w:eastAsia="Times New Roman" w:hAnsi="Candara" w:cs="Times New Roman"/>
                <w:color w:val="000000"/>
                <w:sz w:val="24"/>
                <w:szCs w:val="24"/>
              </w:rPr>
            </w:pPr>
            <w:r w:rsidRPr="0016235B">
              <w:rPr>
                <w:rFonts w:ascii="Candara" w:eastAsia="Times New Roman" w:hAnsi="Candara" w:cs="Times New Roman"/>
                <w:color w:val="000000"/>
                <w:sz w:val="24"/>
                <w:szCs w:val="24"/>
              </w:rPr>
              <w:t xml:space="preserve">Private Health Practitioner (PHP) </w:t>
            </w:r>
          </w:p>
        </w:tc>
      </w:tr>
    </w:tbl>
    <w:p w14:paraId="6E90B386" w14:textId="77777777" w:rsidR="00FF58CC" w:rsidRPr="0016235B" w:rsidRDefault="00FF58CC" w:rsidP="00815396">
      <w:pPr>
        <w:tabs>
          <w:tab w:val="left" w:pos="8400"/>
        </w:tabs>
        <w:rPr>
          <w:rFonts w:ascii="Candara" w:hAnsi="Candara"/>
          <w:sz w:val="24"/>
          <w:szCs w:val="24"/>
        </w:rPr>
      </w:pPr>
    </w:p>
    <w:p w14:paraId="2A1474C5" w14:textId="77777777" w:rsidR="00FF58CC" w:rsidRPr="0016235B" w:rsidRDefault="00FF58CC" w:rsidP="00815396">
      <w:pPr>
        <w:tabs>
          <w:tab w:val="left" w:pos="8400"/>
        </w:tabs>
        <w:rPr>
          <w:rFonts w:ascii="Candara" w:hAnsi="Candara"/>
          <w:sz w:val="24"/>
          <w:szCs w:val="24"/>
        </w:rPr>
      </w:pPr>
    </w:p>
    <w:p w14:paraId="6DD06E46" w14:textId="77777777" w:rsidR="00FF58CC" w:rsidRPr="0016235B" w:rsidRDefault="00FF58CC" w:rsidP="00815396">
      <w:pPr>
        <w:tabs>
          <w:tab w:val="left" w:pos="8400"/>
        </w:tabs>
        <w:rPr>
          <w:rFonts w:ascii="Candara" w:hAnsi="Candara"/>
          <w:sz w:val="24"/>
          <w:szCs w:val="24"/>
        </w:rPr>
      </w:pPr>
    </w:p>
    <w:p w14:paraId="3E98D7AB" w14:textId="77777777" w:rsidR="001447EA" w:rsidRPr="0016235B" w:rsidRDefault="001447EA" w:rsidP="00815396">
      <w:pPr>
        <w:tabs>
          <w:tab w:val="left" w:pos="8400"/>
        </w:tabs>
        <w:rPr>
          <w:rFonts w:ascii="Candara" w:hAnsi="Candara"/>
          <w:sz w:val="24"/>
          <w:szCs w:val="24"/>
        </w:rPr>
      </w:pPr>
    </w:p>
    <w:p w14:paraId="097A0DD9" w14:textId="77777777" w:rsidR="00891A61" w:rsidRPr="0016235B" w:rsidRDefault="00891A61" w:rsidP="00815396">
      <w:pPr>
        <w:tabs>
          <w:tab w:val="left" w:pos="8400"/>
        </w:tabs>
        <w:rPr>
          <w:rFonts w:ascii="Candara" w:hAnsi="Candara"/>
          <w:sz w:val="24"/>
          <w:szCs w:val="24"/>
        </w:rPr>
      </w:pPr>
    </w:p>
    <w:p w14:paraId="2A71F2CF" w14:textId="77777777" w:rsidR="00891A61" w:rsidRPr="0016235B" w:rsidRDefault="00891A61" w:rsidP="00815396">
      <w:pPr>
        <w:tabs>
          <w:tab w:val="left" w:pos="8400"/>
        </w:tabs>
        <w:rPr>
          <w:rFonts w:ascii="Candara" w:hAnsi="Candara"/>
          <w:sz w:val="24"/>
          <w:szCs w:val="24"/>
        </w:rPr>
      </w:pPr>
    </w:p>
    <w:p w14:paraId="3D67B9F0" w14:textId="77777777" w:rsidR="00891A61" w:rsidRPr="0016235B" w:rsidRDefault="00891A61" w:rsidP="00815396">
      <w:pPr>
        <w:tabs>
          <w:tab w:val="left" w:pos="8400"/>
        </w:tabs>
        <w:rPr>
          <w:rFonts w:ascii="Candara" w:hAnsi="Candara"/>
          <w:sz w:val="24"/>
          <w:szCs w:val="24"/>
        </w:rPr>
      </w:pPr>
    </w:p>
    <w:p w14:paraId="53D8024E" w14:textId="77777777" w:rsidR="00891A61" w:rsidRPr="0016235B" w:rsidRDefault="00891A61" w:rsidP="00815396">
      <w:pPr>
        <w:tabs>
          <w:tab w:val="left" w:pos="8400"/>
        </w:tabs>
        <w:rPr>
          <w:rFonts w:ascii="Candara" w:hAnsi="Candara"/>
          <w:sz w:val="24"/>
          <w:szCs w:val="24"/>
        </w:rPr>
      </w:pPr>
    </w:p>
    <w:sectPr w:rsidR="00891A61" w:rsidRPr="001623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3082D" w14:textId="77777777" w:rsidR="009729AC" w:rsidRDefault="009729AC" w:rsidP="00887E46">
      <w:pPr>
        <w:spacing w:after="0" w:line="240" w:lineRule="auto"/>
      </w:pPr>
      <w:r>
        <w:separator/>
      </w:r>
    </w:p>
  </w:endnote>
  <w:endnote w:type="continuationSeparator" w:id="0">
    <w:p w14:paraId="64F778F8" w14:textId="77777777" w:rsidR="009729AC" w:rsidRDefault="009729AC" w:rsidP="00887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ndara">
    <w:panose1 w:val="020E0502030303020204"/>
    <w:charset w:val="00"/>
    <w:family w:val="swiss"/>
    <w:pitch w:val="variable"/>
    <w:sig w:usb0="A00002EF" w:usb1="4000A44B"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659112"/>
      <w:docPartObj>
        <w:docPartGallery w:val="Page Numbers (Bottom of Page)"/>
        <w:docPartUnique/>
      </w:docPartObj>
    </w:sdtPr>
    <w:sdtEndPr>
      <w:rPr>
        <w:color w:val="7F7F7F" w:themeColor="background1" w:themeShade="7F"/>
        <w:spacing w:val="60"/>
      </w:rPr>
    </w:sdtEndPr>
    <w:sdtContent>
      <w:p w14:paraId="46C02C1F" w14:textId="495F94BB" w:rsidR="002663B1" w:rsidRDefault="002663B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vi</w:t>
        </w:r>
        <w:r>
          <w:rPr>
            <w:noProof/>
          </w:rPr>
          <w:fldChar w:fldCharType="end"/>
        </w:r>
        <w:r>
          <w:t xml:space="preserve"> | </w:t>
        </w:r>
        <w:r>
          <w:rPr>
            <w:color w:val="7F7F7F" w:themeColor="background1" w:themeShade="7F"/>
            <w:spacing w:val="60"/>
          </w:rPr>
          <w:t>Page</w:t>
        </w:r>
      </w:p>
    </w:sdtContent>
  </w:sdt>
  <w:p w14:paraId="13E2EFFA" w14:textId="77777777" w:rsidR="002663B1" w:rsidRDefault="00266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87A9B" w14:textId="77777777" w:rsidR="009729AC" w:rsidRDefault="009729AC" w:rsidP="00887E46">
      <w:pPr>
        <w:spacing w:after="0" w:line="240" w:lineRule="auto"/>
      </w:pPr>
      <w:r>
        <w:separator/>
      </w:r>
    </w:p>
  </w:footnote>
  <w:footnote w:type="continuationSeparator" w:id="0">
    <w:p w14:paraId="32259C03" w14:textId="77777777" w:rsidR="009729AC" w:rsidRDefault="009729AC" w:rsidP="00887E46">
      <w:pPr>
        <w:spacing w:after="0" w:line="240" w:lineRule="auto"/>
      </w:pPr>
      <w:r>
        <w:continuationSeparator/>
      </w:r>
    </w:p>
  </w:footnote>
  <w:footnote w:id="1">
    <w:p w14:paraId="22D62847" w14:textId="77777777" w:rsidR="002663B1" w:rsidRPr="00057924" w:rsidRDefault="002663B1" w:rsidP="00AA665C">
      <w:pPr>
        <w:pStyle w:val="FootnoteText"/>
        <w:rPr>
          <w:lang w:val="en-GB"/>
        </w:rPr>
      </w:pPr>
      <w:r>
        <w:rPr>
          <w:rStyle w:val="FootnoteReference"/>
        </w:rPr>
        <w:footnoteRef/>
      </w:r>
      <w:r>
        <w:t xml:space="preserve"> </w:t>
      </w:r>
    </w:p>
    <w:p w14:paraId="0CD3E245" w14:textId="77777777" w:rsidR="002663B1" w:rsidRPr="00057924" w:rsidRDefault="002663B1" w:rsidP="00AA665C">
      <w:pPr>
        <w:pStyle w:val="FootnoteText"/>
        <w:rPr>
          <w:lang w:val="en-GB"/>
        </w:rPr>
      </w:pPr>
      <w:r w:rsidRPr="00057924">
        <w:rPr>
          <w:lang w:val="en-GB"/>
        </w:rPr>
        <w:t>World Health Organization. Service Availability and Readiness Assessment (SARA). Available at (</w:t>
      </w:r>
      <w:hyperlink r:id="rId1" w:history="1">
        <w:r w:rsidRPr="00A728F0">
          <w:rPr>
            <w:rStyle w:val="Hyperlink"/>
            <w:lang w:val="en-GB"/>
          </w:rPr>
          <w:t>http://www.who.int/healthinfo/systems/sara_introduction/en/</w:t>
        </w:r>
      </w:hyperlink>
      <w:r>
        <w:rPr>
          <w:lang w:val="en-GB"/>
        </w:rPr>
        <w:t xml:space="preserve"> </w:t>
      </w:r>
      <w:r w:rsidRPr="00057924">
        <w:rPr>
          <w:lang w:val="en-GB"/>
        </w:rPr>
        <w:t xml:space="preserve">) (Accessed </w:t>
      </w:r>
      <w:r>
        <w:rPr>
          <w:lang w:val="en-GB"/>
        </w:rPr>
        <w:t>5</w:t>
      </w:r>
      <w:r w:rsidRPr="00057924">
        <w:rPr>
          <w:lang w:val="en-GB"/>
        </w:rPr>
        <w:t>/</w:t>
      </w:r>
      <w:r>
        <w:rPr>
          <w:lang w:val="en-GB"/>
        </w:rPr>
        <w:t>5/</w:t>
      </w:r>
      <w:r w:rsidRPr="00057924">
        <w:rPr>
          <w:lang w:val="en-GB"/>
        </w:rPr>
        <w:t>1</w:t>
      </w:r>
      <w:r>
        <w:rPr>
          <w:lang w:val="en-GB"/>
        </w:rPr>
        <w:t>6</w:t>
      </w:r>
      <w:r w:rsidRPr="00057924">
        <w:rPr>
          <w:lang w:val="en-GB"/>
        </w:rPr>
        <w:t xml:space="preserve">). </w:t>
      </w:r>
    </w:p>
    <w:p w14:paraId="379C2691" w14:textId="77777777" w:rsidR="002663B1" w:rsidRPr="00F21CB5" w:rsidRDefault="002663B1" w:rsidP="00AA665C">
      <w:pPr>
        <w:pStyle w:val="FootnoteText"/>
        <w:rPr>
          <w:lang w:val="en-GB"/>
        </w:rPr>
      </w:pPr>
    </w:p>
  </w:footnote>
  <w:footnote w:id="2">
    <w:p w14:paraId="085F8A87" w14:textId="77777777" w:rsidR="002663B1" w:rsidRDefault="002663B1" w:rsidP="00DB7151">
      <w:pPr>
        <w:pStyle w:val="FootnoteText"/>
      </w:pPr>
      <w:r>
        <w:rPr>
          <w:rStyle w:val="FootnoteReference"/>
        </w:rPr>
        <w:footnoteRef/>
      </w:r>
      <w:r>
        <w:t xml:space="preserve"> Data Quality Review: A toolkit for Monitoring Health Facility Data Quality</w:t>
      </w:r>
    </w:p>
  </w:footnote>
  <w:footnote w:id="3">
    <w:p w14:paraId="1ED38698" w14:textId="61029FEB" w:rsidR="002663B1" w:rsidRDefault="002663B1">
      <w:pPr>
        <w:pStyle w:val="FootnoteText"/>
      </w:pPr>
      <w:r>
        <w:rPr>
          <w:rStyle w:val="FootnoteReference"/>
        </w:rPr>
        <w:footnoteRef/>
      </w:r>
      <w:r>
        <w:t xml:space="preserve"> </w:t>
      </w:r>
      <w:r w:rsidRPr="00493127">
        <w:t>Central 1, Central 2, Kampala, Karamoja, Mid-Eastern, Mid-Northern, Mid-West, North-East, South-west, West-Nile</w:t>
      </w:r>
    </w:p>
  </w:footnote>
  <w:footnote w:id="4">
    <w:p w14:paraId="40A67969" w14:textId="5388C09C" w:rsidR="002663B1" w:rsidRDefault="002663B1">
      <w:pPr>
        <w:pStyle w:val="FootnoteText"/>
      </w:pPr>
      <w:r>
        <w:rPr>
          <w:rStyle w:val="FootnoteReference"/>
        </w:rPr>
        <w:footnoteRef/>
      </w:r>
      <w:r>
        <w:t xml:space="preserve"> WHO 2013.Service availability and readiness assessment. An annual monitoring system for service delivery. Available online as:  </w:t>
      </w:r>
      <w:hyperlink r:id="rId2" w:history="1">
        <w:r w:rsidRPr="00B61E0D">
          <w:rPr>
            <w:rStyle w:val="Hyperlink"/>
          </w:rPr>
          <w:t>https://www.who.int/healthinfo/systems/SARA_Reference_Manual_Full.pdf</w:t>
        </w:r>
      </w:hyperlink>
      <w:r>
        <w:t xml:space="preserve"> </w:t>
      </w:r>
    </w:p>
  </w:footnote>
  <w:footnote w:id="5">
    <w:p w14:paraId="1C16C62A" w14:textId="0A8FDE03" w:rsidR="002663B1" w:rsidRDefault="002663B1">
      <w:pPr>
        <w:pStyle w:val="FootnoteText"/>
      </w:pPr>
      <w:r>
        <w:rPr>
          <w:rStyle w:val="FootnoteReference"/>
        </w:rPr>
        <w:footnoteRef/>
      </w:r>
      <w:r>
        <w:t xml:space="preserve"> WHO 2013. The Service availability and readiness assessment. An annual monitoring system for service delivery. SARA Implementation guide. Available on line </w:t>
      </w:r>
      <w:r w:rsidRPr="00025898">
        <w:t>https://www.who.int/healthinfo/systems/sara_implementation_guide/en/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7E81"/>
    <w:multiLevelType w:val="hybridMultilevel"/>
    <w:tmpl w:val="BCFA7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70D5E"/>
    <w:multiLevelType w:val="multilevel"/>
    <w:tmpl w:val="BD607B12"/>
    <w:lvl w:ilvl="0">
      <w:start w:val="1"/>
      <w:numFmt w:val="bullet"/>
      <w:pStyle w:val="BulletedList"/>
      <w:lvlText w:val=""/>
      <w:lvlJc w:val="left"/>
      <w:pPr>
        <w:tabs>
          <w:tab w:val="num" w:pos="363"/>
        </w:tabs>
        <w:ind w:left="363" w:hanging="360"/>
      </w:pPr>
      <w:rPr>
        <w:rFonts w:ascii="Symbol" w:hAnsi="Symbol" w:cs="Symbol" w:hint="default"/>
        <w:color w:val="92D050"/>
        <w:sz w:val="20"/>
      </w:rPr>
    </w:lvl>
    <w:lvl w:ilvl="1">
      <w:start w:val="1"/>
      <w:numFmt w:val="lowerLetter"/>
      <w:lvlText w:val="%2."/>
      <w:lvlJc w:val="left"/>
      <w:pPr>
        <w:tabs>
          <w:tab w:val="num" w:pos="1837"/>
        </w:tabs>
        <w:ind w:left="1803" w:hanging="360"/>
      </w:pPr>
      <w:rPr>
        <w:rFonts w:hint="default"/>
        <w:color w:val="622B99"/>
        <w:sz w:val="20"/>
      </w:rPr>
    </w:lvl>
    <w:lvl w:ilvl="2">
      <w:start w:val="1"/>
      <w:numFmt w:val="decimal"/>
      <w:lvlText w:val="%3)"/>
      <w:lvlJc w:val="left"/>
      <w:pPr>
        <w:tabs>
          <w:tab w:val="num" w:pos="2523"/>
        </w:tabs>
        <w:ind w:left="2523" w:hanging="360"/>
      </w:pPr>
      <w:rPr>
        <w:rFonts w:hint="default"/>
      </w:rPr>
    </w:lvl>
    <w:lvl w:ilvl="3">
      <w:start w:val="7"/>
      <w:numFmt w:val="decimal"/>
      <w:lvlText w:val="(%4)"/>
      <w:lvlJc w:val="left"/>
      <w:pPr>
        <w:tabs>
          <w:tab w:val="num" w:pos="3243"/>
        </w:tabs>
        <w:ind w:left="3243" w:hanging="360"/>
      </w:pPr>
      <w:rPr>
        <w:rFonts w:hint="default"/>
      </w:rPr>
    </w:lvl>
    <w:lvl w:ilvl="4">
      <w:start w:val="1"/>
      <w:numFmt w:val="bullet"/>
      <w:lvlText w:val="o"/>
      <w:lvlJc w:val="left"/>
      <w:pPr>
        <w:tabs>
          <w:tab w:val="num" w:pos="3963"/>
        </w:tabs>
        <w:ind w:left="3963" w:hanging="360"/>
      </w:pPr>
      <w:rPr>
        <w:rFonts w:ascii="Courier New" w:hAnsi="Courier New" w:cs="Symbol" w:hint="default"/>
      </w:rPr>
    </w:lvl>
    <w:lvl w:ilvl="5">
      <w:start w:val="1"/>
      <w:numFmt w:val="bullet"/>
      <w:lvlText w:val=""/>
      <w:lvlJc w:val="left"/>
      <w:pPr>
        <w:tabs>
          <w:tab w:val="num" w:pos="4683"/>
        </w:tabs>
        <w:ind w:left="4683" w:hanging="360"/>
      </w:pPr>
      <w:rPr>
        <w:rFonts w:ascii="Wingdings" w:hAnsi="Wingdings" w:hint="default"/>
      </w:rPr>
    </w:lvl>
    <w:lvl w:ilvl="6">
      <w:start w:val="1"/>
      <w:numFmt w:val="bullet"/>
      <w:lvlText w:val=""/>
      <w:lvlJc w:val="left"/>
      <w:pPr>
        <w:tabs>
          <w:tab w:val="num" w:pos="5403"/>
        </w:tabs>
        <w:ind w:left="5403" w:hanging="360"/>
      </w:pPr>
      <w:rPr>
        <w:rFonts w:ascii="Symbol" w:hAnsi="Symbol" w:hint="default"/>
      </w:rPr>
    </w:lvl>
    <w:lvl w:ilvl="7">
      <w:start w:val="1"/>
      <w:numFmt w:val="bullet"/>
      <w:lvlText w:val="o"/>
      <w:lvlJc w:val="left"/>
      <w:pPr>
        <w:tabs>
          <w:tab w:val="num" w:pos="6123"/>
        </w:tabs>
        <w:ind w:left="6123" w:hanging="360"/>
      </w:pPr>
      <w:rPr>
        <w:rFonts w:ascii="Courier New" w:hAnsi="Courier New" w:cs="Symbol" w:hint="default"/>
      </w:rPr>
    </w:lvl>
    <w:lvl w:ilvl="8">
      <w:start w:val="1"/>
      <w:numFmt w:val="bullet"/>
      <w:lvlText w:val=""/>
      <w:lvlJc w:val="left"/>
      <w:pPr>
        <w:tabs>
          <w:tab w:val="num" w:pos="6843"/>
        </w:tabs>
        <w:ind w:left="6843" w:hanging="360"/>
      </w:pPr>
      <w:rPr>
        <w:rFonts w:ascii="Wingdings" w:hAnsi="Wingdings" w:hint="default"/>
      </w:rPr>
    </w:lvl>
  </w:abstractNum>
  <w:abstractNum w:abstractNumId="2" w15:restartNumberingAfterBreak="0">
    <w:nsid w:val="072E1929"/>
    <w:multiLevelType w:val="hybridMultilevel"/>
    <w:tmpl w:val="BCC41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900EC"/>
    <w:multiLevelType w:val="hybridMultilevel"/>
    <w:tmpl w:val="FC40E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80022"/>
    <w:multiLevelType w:val="hybridMultilevel"/>
    <w:tmpl w:val="983A7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51AE7"/>
    <w:multiLevelType w:val="hybridMultilevel"/>
    <w:tmpl w:val="B2366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A746A"/>
    <w:multiLevelType w:val="hybridMultilevel"/>
    <w:tmpl w:val="C778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6B10A0"/>
    <w:multiLevelType w:val="hybridMultilevel"/>
    <w:tmpl w:val="086C5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7376C"/>
    <w:multiLevelType w:val="hybridMultilevel"/>
    <w:tmpl w:val="CC4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B0E16"/>
    <w:multiLevelType w:val="hybridMultilevel"/>
    <w:tmpl w:val="44F04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5263C3"/>
    <w:multiLevelType w:val="hybridMultilevel"/>
    <w:tmpl w:val="0FC2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C265C"/>
    <w:multiLevelType w:val="multilevel"/>
    <w:tmpl w:val="3C54E79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09867F7"/>
    <w:multiLevelType w:val="hybridMultilevel"/>
    <w:tmpl w:val="669C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009B8"/>
    <w:multiLevelType w:val="hybridMultilevel"/>
    <w:tmpl w:val="19FC1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EC07FB"/>
    <w:multiLevelType w:val="hybridMultilevel"/>
    <w:tmpl w:val="B0901B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3BAD16B8"/>
    <w:multiLevelType w:val="hybridMultilevel"/>
    <w:tmpl w:val="833E5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1B2235"/>
    <w:multiLevelType w:val="hybridMultilevel"/>
    <w:tmpl w:val="F1D04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4F29D2"/>
    <w:multiLevelType w:val="hybridMultilevel"/>
    <w:tmpl w:val="51185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C53417"/>
    <w:multiLevelType w:val="hybridMultilevel"/>
    <w:tmpl w:val="0F905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E9713D"/>
    <w:multiLevelType w:val="hybridMultilevel"/>
    <w:tmpl w:val="4C48BD98"/>
    <w:lvl w:ilvl="0" w:tplc="1C09000F">
      <w:start w:val="1"/>
      <w:numFmt w:val="decimal"/>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5D125E5"/>
    <w:multiLevelType w:val="hybridMultilevel"/>
    <w:tmpl w:val="EBEA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59644B"/>
    <w:multiLevelType w:val="hybridMultilevel"/>
    <w:tmpl w:val="C1242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0225F3"/>
    <w:multiLevelType w:val="hybridMultilevel"/>
    <w:tmpl w:val="3A5A10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49AB648C"/>
    <w:multiLevelType w:val="hybridMultilevel"/>
    <w:tmpl w:val="4C48BD98"/>
    <w:lvl w:ilvl="0" w:tplc="1C09000F">
      <w:start w:val="1"/>
      <w:numFmt w:val="decimal"/>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535771BF"/>
    <w:multiLevelType w:val="hybridMultilevel"/>
    <w:tmpl w:val="E8546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411D12"/>
    <w:multiLevelType w:val="hybridMultilevel"/>
    <w:tmpl w:val="E41A3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623518"/>
    <w:multiLevelType w:val="hybridMultilevel"/>
    <w:tmpl w:val="2F1E0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F706FF"/>
    <w:multiLevelType w:val="hybridMultilevel"/>
    <w:tmpl w:val="4438A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E0134"/>
    <w:multiLevelType w:val="hybridMultilevel"/>
    <w:tmpl w:val="AF3E673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0B7CFF"/>
    <w:multiLevelType w:val="hybridMultilevel"/>
    <w:tmpl w:val="3F22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A25E63"/>
    <w:multiLevelType w:val="hybridMultilevel"/>
    <w:tmpl w:val="9F90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CC45AF"/>
    <w:multiLevelType w:val="hybridMultilevel"/>
    <w:tmpl w:val="2260F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342055E"/>
    <w:multiLevelType w:val="hybridMultilevel"/>
    <w:tmpl w:val="DB7CC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607C52"/>
    <w:multiLevelType w:val="hybridMultilevel"/>
    <w:tmpl w:val="6072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D868B9"/>
    <w:multiLevelType w:val="hybridMultilevel"/>
    <w:tmpl w:val="2A22E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FC591F"/>
    <w:multiLevelType w:val="hybridMultilevel"/>
    <w:tmpl w:val="A9BAB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6"/>
  </w:num>
  <w:num w:numId="4">
    <w:abstractNumId w:val="2"/>
  </w:num>
  <w:num w:numId="5">
    <w:abstractNumId w:val="31"/>
  </w:num>
  <w:num w:numId="6">
    <w:abstractNumId w:val="27"/>
  </w:num>
  <w:num w:numId="7">
    <w:abstractNumId w:val="32"/>
  </w:num>
  <w:num w:numId="8">
    <w:abstractNumId w:val="16"/>
  </w:num>
  <w:num w:numId="9">
    <w:abstractNumId w:val="15"/>
  </w:num>
  <w:num w:numId="10">
    <w:abstractNumId w:val="18"/>
  </w:num>
  <w:num w:numId="11">
    <w:abstractNumId w:val="4"/>
  </w:num>
  <w:num w:numId="12">
    <w:abstractNumId w:val="3"/>
  </w:num>
  <w:num w:numId="13">
    <w:abstractNumId w:val="0"/>
  </w:num>
  <w:num w:numId="14">
    <w:abstractNumId w:val="30"/>
  </w:num>
  <w:num w:numId="15">
    <w:abstractNumId w:val="35"/>
  </w:num>
  <w:num w:numId="16">
    <w:abstractNumId w:val="33"/>
  </w:num>
  <w:num w:numId="17">
    <w:abstractNumId w:val="20"/>
  </w:num>
  <w:num w:numId="18">
    <w:abstractNumId w:val="5"/>
  </w:num>
  <w:num w:numId="19">
    <w:abstractNumId w:val="29"/>
  </w:num>
  <w:num w:numId="20">
    <w:abstractNumId w:val="21"/>
  </w:num>
  <w:num w:numId="21">
    <w:abstractNumId w:val="8"/>
  </w:num>
  <w:num w:numId="22">
    <w:abstractNumId w:val="25"/>
  </w:num>
  <w:num w:numId="23">
    <w:abstractNumId w:val="17"/>
  </w:num>
  <w:num w:numId="24">
    <w:abstractNumId w:val="28"/>
  </w:num>
  <w:num w:numId="25">
    <w:abstractNumId w:val="11"/>
  </w:num>
  <w:num w:numId="26">
    <w:abstractNumId w:val="1"/>
  </w:num>
  <w:num w:numId="27">
    <w:abstractNumId w:val="23"/>
  </w:num>
  <w:num w:numId="28">
    <w:abstractNumId w:val="19"/>
  </w:num>
  <w:num w:numId="29">
    <w:abstractNumId w:val="14"/>
  </w:num>
  <w:num w:numId="30">
    <w:abstractNumId w:val="22"/>
  </w:num>
  <w:num w:numId="31">
    <w:abstractNumId w:val="34"/>
  </w:num>
  <w:num w:numId="32">
    <w:abstractNumId w:val="9"/>
  </w:num>
  <w:num w:numId="33">
    <w:abstractNumId w:val="13"/>
  </w:num>
  <w:num w:numId="34">
    <w:abstractNumId w:val="24"/>
  </w:num>
  <w:num w:numId="35">
    <w:abstractNumId w:val="26"/>
  </w:num>
  <w:num w:numId="36">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690E"/>
    <w:rsid w:val="00000F0C"/>
    <w:rsid w:val="00006992"/>
    <w:rsid w:val="00007E24"/>
    <w:rsid w:val="00010AF8"/>
    <w:rsid w:val="00021228"/>
    <w:rsid w:val="00024678"/>
    <w:rsid w:val="00025898"/>
    <w:rsid w:val="000263A3"/>
    <w:rsid w:val="00032154"/>
    <w:rsid w:val="00040C4F"/>
    <w:rsid w:val="00045BF0"/>
    <w:rsid w:val="000473C6"/>
    <w:rsid w:val="000518CB"/>
    <w:rsid w:val="00053975"/>
    <w:rsid w:val="000627A1"/>
    <w:rsid w:val="0006338C"/>
    <w:rsid w:val="00063AF6"/>
    <w:rsid w:val="00064C67"/>
    <w:rsid w:val="00073CAC"/>
    <w:rsid w:val="00077978"/>
    <w:rsid w:val="00083F57"/>
    <w:rsid w:val="000878B7"/>
    <w:rsid w:val="00095078"/>
    <w:rsid w:val="000956F9"/>
    <w:rsid w:val="00095C2C"/>
    <w:rsid w:val="000B0627"/>
    <w:rsid w:val="000B09D6"/>
    <w:rsid w:val="000B2A92"/>
    <w:rsid w:val="000C35A6"/>
    <w:rsid w:val="000C57A3"/>
    <w:rsid w:val="000D0AFE"/>
    <w:rsid w:val="000D3CEC"/>
    <w:rsid w:val="000D422A"/>
    <w:rsid w:val="000D7031"/>
    <w:rsid w:val="000E08CE"/>
    <w:rsid w:val="000E1A5E"/>
    <w:rsid w:val="000E3752"/>
    <w:rsid w:val="000E79DF"/>
    <w:rsid w:val="000F32F6"/>
    <w:rsid w:val="000F42E3"/>
    <w:rsid w:val="000F4D54"/>
    <w:rsid w:val="00102BFE"/>
    <w:rsid w:val="00106212"/>
    <w:rsid w:val="001070BD"/>
    <w:rsid w:val="00114355"/>
    <w:rsid w:val="00114604"/>
    <w:rsid w:val="001151D3"/>
    <w:rsid w:val="0012290E"/>
    <w:rsid w:val="001321C2"/>
    <w:rsid w:val="00137855"/>
    <w:rsid w:val="00144290"/>
    <w:rsid w:val="001447EA"/>
    <w:rsid w:val="00147129"/>
    <w:rsid w:val="001478B5"/>
    <w:rsid w:val="00150F01"/>
    <w:rsid w:val="001553B8"/>
    <w:rsid w:val="0016235B"/>
    <w:rsid w:val="001635B1"/>
    <w:rsid w:val="00167C3D"/>
    <w:rsid w:val="00170E1E"/>
    <w:rsid w:val="00171574"/>
    <w:rsid w:val="00172F47"/>
    <w:rsid w:val="00176310"/>
    <w:rsid w:val="001816DC"/>
    <w:rsid w:val="001819B8"/>
    <w:rsid w:val="00184D47"/>
    <w:rsid w:val="00190218"/>
    <w:rsid w:val="0019054C"/>
    <w:rsid w:val="00193918"/>
    <w:rsid w:val="00196288"/>
    <w:rsid w:val="001A008B"/>
    <w:rsid w:val="001A0C3E"/>
    <w:rsid w:val="001A4CF2"/>
    <w:rsid w:val="001A57C0"/>
    <w:rsid w:val="001A5FD7"/>
    <w:rsid w:val="001A64E1"/>
    <w:rsid w:val="001A6664"/>
    <w:rsid w:val="001A774F"/>
    <w:rsid w:val="001A780E"/>
    <w:rsid w:val="001B1C5B"/>
    <w:rsid w:val="001C23A0"/>
    <w:rsid w:val="001C2EAC"/>
    <w:rsid w:val="001C363F"/>
    <w:rsid w:val="001C6B81"/>
    <w:rsid w:val="001D014B"/>
    <w:rsid w:val="001D2897"/>
    <w:rsid w:val="001E33BB"/>
    <w:rsid w:val="001E470D"/>
    <w:rsid w:val="001E611E"/>
    <w:rsid w:val="001E768F"/>
    <w:rsid w:val="001F2292"/>
    <w:rsid w:val="001F4B57"/>
    <w:rsid w:val="001F7B28"/>
    <w:rsid w:val="00200541"/>
    <w:rsid w:val="00201404"/>
    <w:rsid w:val="00205901"/>
    <w:rsid w:val="002078A5"/>
    <w:rsid w:val="00221E0D"/>
    <w:rsid w:val="00225302"/>
    <w:rsid w:val="0022595C"/>
    <w:rsid w:val="00227098"/>
    <w:rsid w:val="00227641"/>
    <w:rsid w:val="002300C7"/>
    <w:rsid w:val="0023273C"/>
    <w:rsid w:val="00244BC6"/>
    <w:rsid w:val="00246460"/>
    <w:rsid w:val="0025074D"/>
    <w:rsid w:val="00251C14"/>
    <w:rsid w:val="00252BD5"/>
    <w:rsid w:val="002626B1"/>
    <w:rsid w:val="00262732"/>
    <w:rsid w:val="00263F2D"/>
    <w:rsid w:val="0026552A"/>
    <w:rsid w:val="002663B1"/>
    <w:rsid w:val="002738DD"/>
    <w:rsid w:val="00276442"/>
    <w:rsid w:val="0028072E"/>
    <w:rsid w:val="00285FA4"/>
    <w:rsid w:val="002911B2"/>
    <w:rsid w:val="002A07AF"/>
    <w:rsid w:val="002A11B1"/>
    <w:rsid w:val="002A150C"/>
    <w:rsid w:val="002A4849"/>
    <w:rsid w:val="002A6B58"/>
    <w:rsid w:val="002B2429"/>
    <w:rsid w:val="002B3A5D"/>
    <w:rsid w:val="002B3F1D"/>
    <w:rsid w:val="002B42F2"/>
    <w:rsid w:val="002C0536"/>
    <w:rsid w:val="002C2378"/>
    <w:rsid w:val="002C462B"/>
    <w:rsid w:val="002C4A54"/>
    <w:rsid w:val="002D1786"/>
    <w:rsid w:val="002E1B5C"/>
    <w:rsid w:val="002E3025"/>
    <w:rsid w:val="00300AB9"/>
    <w:rsid w:val="00301E32"/>
    <w:rsid w:val="003052AB"/>
    <w:rsid w:val="0031121E"/>
    <w:rsid w:val="003116CC"/>
    <w:rsid w:val="00311CD3"/>
    <w:rsid w:val="00315F8A"/>
    <w:rsid w:val="00325342"/>
    <w:rsid w:val="003270E6"/>
    <w:rsid w:val="0033193B"/>
    <w:rsid w:val="00331D8A"/>
    <w:rsid w:val="00335018"/>
    <w:rsid w:val="00335805"/>
    <w:rsid w:val="0033595F"/>
    <w:rsid w:val="00335F2F"/>
    <w:rsid w:val="00345D4F"/>
    <w:rsid w:val="00347E84"/>
    <w:rsid w:val="003551C6"/>
    <w:rsid w:val="00360911"/>
    <w:rsid w:val="00361705"/>
    <w:rsid w:val="00364CA3"/>
    <w:rsid w:val="00370DC7"/>
    <w:rsid w:val="00375C7D"/>
    <w:rsid w:val="00377AFE"/>
    <w:rsid w:val="003840FF"/>
    <w:rsid w:val="00384F8A"/>
    <w:rsid w:val="00386831"/>
    <w:rsid w:val="00387B13"/>
    <w:rsid w:val="003904A4"/>
    <w:rsid w:val="003945D3"/>
    <w:rsid w:val="00394C87"/>
    <w:rsid w:val="00394CF4"/>
    <w:rsid w:val="003967CC"/>
    <w:rsid w:val="0039752C"/>
    <w:rsid w:val="00397C88"/>
    <w:rsid w:val="003B46F6"/>
    <w:rsid w:val="003B6E89"/>
    <w:rsid w:val="003B7C28"/>
    <w:rsid w:val="003C00D9"/>
    <w:rsid w:val="003C11F0"/>
    <w:rsid w:val="003C3964"/>
    <w:rsid w:val="003C5CBD"/>
    <w:rsid w:val="003C6847"/>
    <w:rsid w:val="003C6D22"/>
    <w:rsid w:val="003D1966"/>
    <w:rsid w:val="003E3A6C"/>
    <w:rsid w:val="003F23F4"/>
    <w:rsid w:val="003F7F7F"/>
    <w:rsid w:val="00402091"/>
    <w:rsid w:val="0040445C"/>
    <w:rsid w:val="00406F92"/>
    <w:rsid w:val="00415979"/>
    <w:rsid w:val="00415A30"/>
    <w:rsid w:val="00421D06"/>
    <w:rsid w:val="00427FE2"/>
    <w:rsid w:val="0043293D"/>
    <w:rsid w:val="00432B21"/>
    <w:rsid w:val="00435CF1"/>
    <w:rsid w:val="004402E3"/>
    <w:rsid w:val="00441D52"/>
    <w:rsid w:val="00442CC1"/>
    <w:rsid w:val="0045009E"/>
    <w:rsid w:val="00451187"/>
    <w:rsid w:val="00451565"/>
    <w:rsid w:val="0045209E"/>
    <w:rsid w:val="004522A7"/>
    <w:rsid w:val="004527D9"/>
    <w:rsid w:val="00452DFF"/>
    <w:rsid w:val="0045403A"/>
    <w:rsid w:val="00455B85"/>
    <w:rsid w:val="00457D8C"/>
    <w:rsid w:val="00460641"/>
    <w:rsid w:val="00464562"/>
    <w:rsid w:val="004652AD"/>
    <w:rsid w:val="0047384B"/>
    <w:rsid w:val="00477677"/>
    <w:rsid w:val="00477ADB"/>
    <w:rsid w:val="00483785"/>
    <w:rsid w:val="00484520"/>
    <w:rsid w:val="00493127"/>
    <w:rsid w:val="0049586E"/>
    <w:rsid w:val="004A183D"/>
    <w:rsid w:val="004A1997"/>
    <w:rsid w:val="004A1E69"/>
    <w:rsid w:val="004A5A5E"/>
    <w:rsid w:val="004A5A65"/>
    <w:rsid w:val="004B57FA"/>
    <w:rsid w:val="004C1570"/>
    <w:rsid w:val="004C546F"/>
    <w:rsid w:val="004C6002"/>
    <w:rsid w:val="004C71B8"/>
    <w:rsid w:val="004D5B79"/>
    <w:rsid w:val="004D644A"/>
    <w:rsid w:val="004D6945"/>
    <w:rsid w:val="004E2846"/>
    <w:rsid w:val="004E40B2"/>
    <w:rsid w:val="004E6E44"/>
    <w:rsid w:val="004F1AEF"/>
    <w:rsid w:val="004F39BA"/>
    <w:rsid w:val="004F67AB"/>
    <w:rsid w:val="005018D9"/>
    <w:rsid w:val="00504CDB"/>
    <w:rsid w:val="00505341"/>
    <w:rsid w:val="00512534"/>
    <w:rsid w:val="00512D1D"/>
    <w:rsid w:val="005133E8"/>
    <w:rsid w:val="00515DC8"/>
    <w:rsid w:val="00522AD2"/>
    <w:rsid w:val="00522E93"/>
    <w:rsid w:val="00524A06"/>
    <w:rsid w:val="005255FB"/>
    <w:rsid w:val="0054210A"/>
    <w:rsid w:val="005425FE"/>
    <w:rsid w:val="00556731"/>
    <w:rsid w:val="00560BBA"/>
    <w:rsid w:val="00563947"/>
    <w:rsid w:val="00566F5F"/>
    <w:rsid w:val="005722F2"/>
    <w:rsid w:val="0058278A"/>
    <w:rsid w:val="0058672C"/>
    <w:rsid w:val="00586BFE"/>
    <w:rsid w:val="00586CBC"/>
    <w:rsid w:val="00591EC9"/>
    <w:rsid w:val="00595B58"/>
    <w:rsid w:val="005A00E0"/>
    <w:rsid w:val="005A1B61"/>
    <w:rsid w:val="005A1D0D"/>
    <w:rsid w:val="005A4E1D"/>
    <w:rsid w:val="005A657D"/>
    <w:rsid w:val="005B3555"/>
    <w:rsid w:val="005B52F9"/>
    <w:rsid w:val="005B58E8"/>
    <w:rsid w:val="005B7119"/>
    <w:rsid w:val="005B71F2"/>
    <w:rsid w:val="005C38B7"/>
    <w:rsid w:val="005C79BE"/>
    <w:rsid w:val="005D0734"/>
    <w:rsid w:val="005D2E87"/>
    <w:rsid w:val="005D509E"/>
    <w:rsid w:val="005E1D62"/>
    <w:rsid w:val="005E3175"/>
    <w:rsid w:val="005E3E75"/>
    <w:rsid w:val="005E60F4"/>
    <w:rsid w:val="005E70A2"/>
    <w:rsid w:val="005E726C"/>
    <w:rsid w:val="005E7CA7"/>
    <w:rsid w:val="005F3E95"/>
    <w:rsid w:val="005F46CD"/>
    <w:rsid w:val="006024AF"/>
    <w:rsid w:val="00606757"/>
    <w:rsid w:val="00606EE7"/>
    <w:rsid w:val="00607D66"/>
    <w:rsid w:val="0062003A"/>
    <w:rsid w:val="00621F64"/>
    <w:rsid w:val="00625243"/>
    <w:rsid w:val="00625F40"/>
    <w:rsid w:val="00625FA6"/>
    <w:rsid w:val="00626D80"/>
    <w:rsid w:val="00627675"/>
    <w:rsid w:val="00630E43"/>
    <w:rsid w:val="00631E0A"/>
    <w:rsid w:val="00653CD2"/>
    <w:rsid w:val="006674A1"/>
    <w:rsid w:val="00672B04"/>
    <w:rsid w:val="00681DBD"/>
    <w:rsid w:val="00692D03"/>
    <w:rsid w:val="00696C83"/>
    <w:rsid w:val="0069718F"/>
    <w:rsid w:val="006A3504"/>
    <w:rsid w:val="006A5BB0"/>
    <w:rsid w:val="006A5D18"/>
    <w:rsid w:val="006A79FF"/>
    <w:rsid w:val="006A7B3E"/>
    <w:rsid w:val="006B49BF"/>
    <w:rsid w:val="006C1742"/>
    <w:rsid w:val="006C2A70"/>
    <w:rsid w:val="006C4A97"/>
    <w:rsid w:val="006C6026"/>
    <w:rsid w:val="006D3BA7"/>
    <w:rsid w:val="006D5634"/>
    <w:rsid w:val="006D5C61"/>
    <w:rsid w:val="006E2385"/>
    <w:rsid w:val="006E6772"/>
    <w:rsid w:val="006F1500"/>
    <w:rsid w:val="006F2F9F"/>
    <w:rsid w:val="006F3232"/>
    <w:rsid w:val="006F4372"/>
    <w:rsid w:val="006F5901"/>
    <w:rsid w:val="006F5E46"/>
    <w:rsid w:val="006F7581"/>
    <w:rsid w:val="00714261"/>
    <w:rsid w:val="00717B40"/>
    <w:rsid w:val="007312E8"/>
    <w:rsid w:val="00731D08"/>
    <w:rsid w:val="007351E8"/>
    <w:rsid w:val="00743A9E"/>
    <w:rsid w:val="0075517F"/>
    <w:rsid w:val="00760C83"/>
    <w:rsid w:val="00762EC6"/>
    <w:rsid w:val="007653D0"/>
    <w:rsid w:val="00765F2B"/>
    <w:rsid w:val="0077191C"/>
    <w:rsid w:val="00775316"/>
    <w:rsid w:val="00780FA2"/>
    <w:rsid w:val="007838E1"/>
    <w:rsid w:val="00792967"/>
    <w:rsid w:val="0079466D"/>
    <w:rsid w:val="007A0718"/>
    <w:rsid w:val="007A7EBC"/>
    <w:rsid w:val="007B3D4C"/>
    <w:rsid w:val="007B579B"/>
    <w:rsid w:val="007B6268"/>
    <w:rsid w:val="007B64DA"/>
    <w:rsid w:val="007C714F"/>
    <w:rsid w:val="007C79C5"/>
    <w:rsid w:val="007D7BBE"/>
    <w:rsid w:val="007E07CC"/>
    <w:rsid w:val="007E66C9"/>
    <w:rsid w:val="007E6DAF"/>
    <w:rsid w:val="007F0B0F"/>
    <w:rsid w:val="007F2EB3"/>
    <w:rsid w:val="007F4EE2"/>
    <w:rsid w:val="007F6C00"/>
    <w:rsid w:val="00802D7B"/>
    <w:rsid w:val="00803EE2"/>
    <w:rsid w:val="00803EE8"/>
    <w:rsid w:val="008137FF"/>
    <w:rsid w:val="0081394E"/>
    <w:rsid w:val="00815396"/>
    <w:rsid w:val="008171B2"/>
    <w:rsid w:val="008174AB"/>
    <w:rsid w:val="00821BFE"/>
    <w:rsid w:val="00822316"/>
    <w:rsid w:val="008238BB"/>
    <w:rsid w:val="00824270"/>
    <w:rsid w:val="0082488A"/>
    <w:rsid w:val="00824B1F"/>
    <w:rsid w:val="00833BA7"/>
    <w:rsid w:val="00836C69"/>
    <w:rsid w:val="0084048E"/>
    <w:rsid w:val="00840E6B"/>
    <w:rsid w:val="008438A3"/>
    <w:rsid w:val="008530A0"/>
    <w:rsid w:val="008554D4"/>
    <w:rsid w:val="00855812"/>
    <w:rsid w:val="00856DFE"/>
    <w:rsid w:val="00857CAA"/>
    <w:rsid w:val="00862D67"/>
    <w:rsid w:val="008630B4"/>
    <w:rsid w:val="00872391"/>
    <w:rsid w:val="0087475C"/>
    <w:rsid w:val="00874773"/>
    <w:rsid w:val="0087723C"/>
    <w:rsid w:val="00887E46"/>
    <w:rsid w:val="008912DC"/>
    <w:rsid w:val="00891A61"/>
    <w:rsid w:val="00897AA0"/>
    <w:rsid w:val="008A2BB7"/>
    <w:rsid w:val="008A3B06"/>
    <w:rsid w:val="008A3E84"/>
    <w:rsid w:val="008B181A"/>
    <w:rsid w:val="008B1F96"/>
    <w:rsid w:val="008B201C"/>
    <w:rsid w:val="008B3482"/>
    <w:rsid w:val="008B5D45"/>
    <w:rsid w:val="008C481E"/>
    <w:rsid w:val="008C6AC5"/>
    <w:rsid w:val="008C79D7"/>
    <w:rsid w:val="008D243A"/>
    <w:rsid w:val="008E2A1D"/>
    <w:rsid w:val="008F107D"/>
    <w:rsid w:val="008F4D66"/>
    <w:rsid w:val="008F6BD6"/>
    <w:rsid w:val="00917C17"/>
    <w:rsid w:val="00922C62"/>
    <w:rsid w:val="00923437"/>
    <w:rsid w:val="00923DCC"/>
    <w:rsid w:val="00924A87"/>
    <w:rsid w:val="00924E67"/>
    <w:rsid w:val="00926AFE"/>
    <w:rsid w:val="00930B75"/>
    <w:rsid w:val="009336C4"/>
    <w:rsid w:val="0093462F"/>
    <w:rsid w:val="00941602"/>
    <w:rsid w:val="00946328"/>
    <w:rsid w:val="00951808"/>
    <w:rsid w:val="0095336A"/>
    <w:rsid w:val="00955E2C"/>
    <w:rsid w:val="00960E59"/>
    <w:rsid w:val="00962D42"/>
    <w:rsid w:val="00970673"/>
    <w:rsid w:val="009729AC"/>
    <w:rsid w:val="0097415E"/>
    <w:rsid w:val="00976CF7"/>
    <w:rsid w:val="009816C0"/>
    <w:rsid w:val="0098564C"/>
    <w:rsid w:val="00986063"/>
    <w:rsid w:val="00987776"/>
    <w:rsid w:val="009918AA"/>
    <w:rsid w:val="00993CFC"/>
    <w:rsid w:val="00996CD9"/>
    <w:rsid w:val="009A1AF9"/>
    <w:rsid w:val="009A1C42"/>
    <w:rsid w:val="009A357B"/>
    <w:rsid w:val="009A4519"/>
    <w:rsid w:val="009B3165"/>
    <w:rsid w:val="009B4D81"/>
    <w:rsid w:val="009B5FCA"/>
    <w:rsid w:val="009C15F1"/>
    <w:rsid w:val="009C5BF8"/>
    <w:rsid w:val="009C7350"/>
    <w:rsid w:val="009D1EB0"/>
    <w:rsid w:val="009D6447"/>
    <w:rsid w:val="009E2435"/>
    <w:rsid w:val="009E2507"/>
    <w:rsid w:val="009E62C3"/>
    <w:rsid w:val="009F2B75"/>
    <w:rsid w:val="009F509C"/>
    <w:rsid w:val="009F71CF"/>
    <w:rsid w:val="00A0056F"/>
    <w:rsid w:val="00A02115"/>
    <w:rsid w:val="00A046D4"/>
    <w:rsid w:val="00A04B58"/>
    <w:rsid w:val="00A04F75"/>
    <w:rsid w:val="00A057EF"/>
    <w:rsid w:val="00A1163B"/>
    <w:rsid w:val="00A125DB"/>
    <w:rsid w:val="00A22F38"/>
    <w:rsid w:val="00A24EE1"/>
    <w:rsid w:val="00A273AB"/>
    <w:rsid w:val="00A30B9C"/>
    <w:rsid w:val="00A317CB"/>
    <w:rsid w:val="00A324E0"/>
    <w:rsid w:val="00A35540"/>
    <w:rsid w:val="00A412AF"/>
    <w:rsid w:val="00A4403F"/>
    <w:rsid w:val="00A50AD6"/>
    <w:rsid w:val="00A51D5B"/>
    <w:rsid w:val="00A6198F"/>
    <w:rsid w:val="00A659B7"/>
    <w:rsid w:val="00A66EC4"/>
    <w:rsid w:val="00A714F9"/>
    <w:rsid w:val="00A71971"/>
    <w:rsid w:val="00A73247"/>
    <w:rsid w:val="00A73D7A"/>
    <w:rsid w:val="00A76577"/>
    <w:rsid w:val="00A8090E"/>
    <w:rsid w:val="00A81488"/>
    <w:rsid w:val="00A83E87"/>
    <w:rsid w:val="00A92063"/>
    <w:rsid w:val="00A94F40"/>
    <w:rsid w:val="00AA3F4C"/>
    <w:rsid w:val="00AA665C"/>
    <w:rsid w:val="00AB0AE6"/>
    <w:rsid w:val="00AB2B37"/>
    <w:rsid w:val="00AB5361"/>
    <w:rsid w:val="00AB74CE"/>
    <w:rsid w:val="00AC5C31"/>
    <w:rsid w:val="00AC7B3E"/>
    <w:rsid w:val="00AD2C76"/>
    <w:rsid w:val="00AD4DDD"/>
    <w:rsid w:val="00AF223B"/>
    <w:rsid w:val="00AF2555"/>
    <w:rsid w:val="00AF2EAD"/>
    <w:rsid w:val="00AF7EEF"/>
    <w:rsid w:val="00B01378"/>
    <w:rsid w:val="00B06B1B"/>
    <w:rsid w:val="00B11270"/>
    <w:rsid w:val="00B11272"/>
    <w:rsid w:val="00B15A5A"/>
    <w:rsid w:val="00B15C32"/>
    <w:rsid w:val="00B162C0"/>
    <w:rsid w:val="00B21D91"/>
    <w:rsid w:val="00B3528C"/>
    <w:rsid w:val="00B3776D"/>
    <w:rsid w:val="00B40115"/>
    <w:rsid w:val="00B60632"/>
    <w:rsid w:val="00B67C52"/>
    <w:rsid w:val="00B70721"/>
    <w:rsid w:val="00B71287"/>
    <w:rsid w:val="00B8030E"/>
    <w:rsid w:val="00B81F76"/>
    <w:rsid w:val="00B8607B"/>
    <w:rsid w:val="00B93B67"/>
    <w:rsid w:val="00B9659B"/>
    <w:rsid w:val="00B97884"/>
    <w:rsid w:val="00BA165C"/>
    <w:rsid w:val="00BA1CFC"/>
    <w:rsid w:val="00BA3173"/>
    <w:rsid w:val="00BA4A75"/>
    <w:rsid w:val="00BC0B08"/>
    <w:rsid w:val="00BC2DE3"/>
    <w:rsid w:val="00BC4FD8"/>
    <w:rsid w:val="00BC7AFF"/>
    <w:rsid w:val="00BC7C5A"/>
    <w:rsid w:val="00BD1750"/>
    <w:rsid w:val="00BE1823"/>
    <w:rsid w:val="00BE2335"/>
    <w:rsid w:val="00BE628A"/>
    <w:rsid w:val="00BE7074"/>
    <w:rsid w:val="00BE735F"/>
    <w:rsid w:val="00BF0535"/>
    <w:rsid w:val="00C003C8"/>
    <w:rsid w:val="00C008AC"/>
    <w:rsid w:val="00C01201"/>
    <w:rsid w:val="00C067C5"/>
    <w:rsid w:val="00C0765A"/>
    <w:rsid w:val="00C13FC2"/>
    <w:rsid w:val="00C14D24"/>
    <w:rsid w:val="00C15255"/>
    <w:rsid w:val="00C160C3"/>
    <w:rsid w:val="00C24C56"/>
    <w:rsid w:val="00C26B91"/>
    <w:rsid w:val="00C33119"/>
    <w:rsid w:val="00C43B17"/>
    <w:rsid w:val="00C53094"/>
    <w:rsid w:val="00C57731"/>
    <w:rsid w:val="00C6690E"/>
    <w:rsid w:val="00C70F4F"/>
    <w:rsid w:val="00C7109E"/>
    <w:rsid w:val="00C770A2"/>
    <w:rsid w:val="00C8111B"/>
    <w:rsid w:val="00C876D8"/>
    <w:rsid w:val="00C92531"/>
    <w:rsid w:val="00C9404A"/>
    <w:rsid w:val="00C94BC8"/>
    <w:rsid w:val="00CA5885"/>
    <w:rsid w:val="00CA7470"/>
    <w:rsid w:val="00CA7571"/>
    <w:rsid w:val="00CB0EBC"/>
    <w:rsid w:val="00CB2995"/>
    <w:rsid w:val="00CB48CA"/>
    <w:rsid w:val="00CC1C61"/>
    <w:rsid w:val="00CC352D"/>
    <w:rsid w:val="00CC471A"/>
    <w:rsid w:val="00CD0949"/>
    <w:rsid w:val="00CD0DE3"/>
    <w:rsid w:val="00CD2FE7"/>
    <w:rsid w:val="00CE0894"/>
    <w:rsid w:val="00CE2F33"/>
    <w:rsid w:val="00CE5CFF"/>
    <w:rsid w:val="00CF2DF6"/>
    <w:rsid w:val="00CF3C2B"/>
    <w:rsid w:val="00CF4A5A"/>
    <w:rsid w:val="00CF567D"/>
    <w:rsid w:val="00CF6B34"/>
    <w:rsid w:val="00CF7A31"/>
    <w:rsid w:val="00D04D86"/>
    <w:rsid w:val="00D05AC8"/>
    <w:rsid w:val="00D124E8"/>
    <w:rsid w:val="00D15A13"/>
    <w:rsid w:val="00D2350C"/>
    <w:rsid w:val="00D274A2"/>
    <w:rsid w:val="00D32480"/>
    <w:rsid w:val="00D333A0"/>
    <w:rsid w:val="00D616D4"/>
    <w:rsid w:val="00D63F05"/>
    <w:rsid w:val="00D66C50"/>
    <w:rsid w:val="00D729B1"/>
    <w:rsid w:val="00D73C6C"/>
    <w:rsid w:val="00D7559C"/>
    <w:rsid w:val="00D77914"/>
    <w:rsid w:val="00D802BD"/>
    <w:rsid w:val="00D81D23"/>
    <w:rsid w:val="00D836A3"/>
    <w:rsid w:val="00D91202"/>
    <w:rsid w:val="00D92855"/>
    <w:rsid w:val="00D9496E"/>
    <w:rsid w:val="00D957A9"/>
    <w:rsid w:val="00D968B9"/>
    <w:rsid w:val="00DA033C"/>
    <w:rsid w:val="00DA0AAE"/>
    <w:rsid w:val="00DA3886"/>
    <w:rsid w:val="00DA556A"/>
    <w:rsid w:val="00DB0C8C"/>
    <w:rsid w:val="00DB20B3"/>
    <w:rsid w:val="00DB7151"/>
    <w:rsid w:val="00DD1304"/>
    <w:rsid w:val="00DD6B17"/>
    <w:rsid w:val="00DD7815"/>
    <w:rsid w:val="00DD7BEC"/>
    <w:rsid w:val="00DE1D57"/>
    <w:rsid w:val="00DE50FB"/>
    <w:rsid w:val="00DE54C4"/>
    <w:rsid w:val="00DF01A6"/>
    <w:rsid w:val="00DF09ED"/>
    <w:rsid w:val="00DF292E"/>
    <w:rsid w:val="00E13E75"/>
    <w:rsid w:val="00E162CA"/>
    <w:rsid w:val="00E206DB"/>
    <w:rsid w:val="00E21AD5"/>
    <w:rsid w:val="00E21C44"/>
    <w:rsid w:val="00E234C1"/>
    <w:rsid w:val="00E30D38"/>
    <w:rsid w:val="00E37392"/>
    <w:rsid w:val="00E37A12"/>
    <w:rsid w:val="00E41C81"/>
    <w:rsid w:val="00E46B92"/>
    <w:rsid w:val="00E47862"/>
    <w:rsid w:val="00E657AF"/>
    <w:rsid w:val="00E72D81"/>
    <w:rsid w:val="00E8303F"/>
    <w:rsid w:val="00E922B7"/>
    <w:rsid w:val="00E92B1B"/>
    <w:rsid w:val="00E9497F"/>
    <w:rsid w:val="00EA16EA"/>
    <w:rsid w:val="00EA184D"/>
    <w:rsid w:val="00EA20A4"/>
    <w:rsid w:val="00EA7754"/>
    <w:rsid w:val="00EB25F0"/>
    <w:rsid w:val="00EC1CE7"/>
    <w:rsid w:val="00EC1D98"/>
    <w:rsid w:val="00EC3137"/>
    <w:rsid w:val="00ED1E7D"/>
    <w:rsid w:val="00ED2B53"/>
    <w:rsid w:val="00ED2E24"/>
    <w:rsid w:val="00ED33EF"/>
    <w:rsid w:val="00ED59E2"/>
    <w:rsid w:val="00EE2A28"/>
    <w:rsid w:val="00EE3FC9"/>
    <w:rsid w:val="00EF0F18"/>
    <w:rsid w:val="00EF1001"/>
    <w:rsid w:val="00EF1E4F"/>
    <w:rsid w:val="00EF2C98"/>
    <w:rsid w:val="00EF37B7"/>
    <w:rsid w:val="00EF7215"/>
    <w:rsid w:val="00F03864"/>
    <w:rsid w:val="00F04315"/>
    <w:rsid w:val="00F04C0D"/>
    <w:rsid w:val="00F14A64"/>
    <w:rsid w:val="00F1602E"/>
    <w:rsid w:val="00F2505C"/>
    <w:rsid w:val="00F32574"/>
    <w:rsid w:val="00F341D7"/>
    <w:rsid w:val="00F35802"/>
    <w:rsid w:val="00F35FC7"/>
    <w:rsid w:val="00F438D3"/>
    <w:rsid w:val="00F50F18"/>
    <w:rsid w:val="00F569A3"/>
    <w:rsid w:val="00F57F08"/>
    <w:rsid w:val="00F632A8"/>
    <w:rsid w:val="00F63DC4"/>
    <w:rsid w:val="00F67A26"/>
    <w:rsid w:val="00F720EC"/>
    <w:rsid w:val="00F730DA"/>
    <w:rsid w:val="00F77C5B"/>
    <w:rsid w:val="00F77EEC"/>
    <w:rsid w:val="00F8318D"/>
    <w:rsid w:val="00F83DE9"/>
    <w:rsid w:val="00F86381"/>
    <w:rsid w:val="00F87141"/>
    <w:rsid w:val="00F953A7"/>
    <w:rsid w:val="00F9715F"/>
    <w:rsid w:val="00FA102E"/>
    <w:rsid w:val="00FA2525"/>
    <w:rsid w:val="00FA4126"/>
    <w:rsid w:val="00FB2193"/>
    <w:rsid w:val="00FB5FFD"/>
    <w:rsid w:val="00FB6BEA"/>
    <w:rsid w:val="00FC192E"/>
    <w:rsid w:val="00FC506D"/>
    <w:rsid w:val="00FC536C"/>
    <w:rsid w:val="00FC645E"/>
    <w:rsid w:val="00FD3A12"/>
    <w:rsid w:val="00FE2EE8"/>
    <w:rsid w:val="00FE50C0"/>
    <w:rsid w:val="00FE60D8"/>
    <w:rsid w:val="00FE7205"/>
    <w:rsid w:val="00FF1B54"/>
    <w:rsid w:val="00FF210A"/>
    <w:rsid w:val="00FF2682"/>
    <w:rsid w:val="00FF2AA1"/>
    <w:rsid w:val="00FF5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39C92"/>
  <w15:docId w15:val="{0F0F86D1-6881-46E3-BBC7-33C3277A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4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53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653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1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 List Paragraph,MCHIP_list paragraph,List Paragraph1,Recommendation,Bullet List,FooterText,Heading3,Bullets,List Paragraph (numbered (a)),LIST OF TABLES."/>
    <w:basedOn w:val="Normal"/>
    <w:link w:val="ListParagraphChar"/>
    <w:uiPriority w:val="34"/>
    <w:qFormat/>
    <w:rsid w:val="00CC1C61"/>
    <w:pPr>
      <w:ind w:left="720"/>
      <w:contextualSpacing/>
    </w:pPr>
  </w:style>
  <w:style w:type="paragraph" w:styleId="Header">
    <w:name w:val="header"/>
    <w:basedOn w:val="Normal"/>
    <w:link w:val="HeaderChar"/>
    <w:uiPriority w:val="99"/>
    <w:unhideWhenUsed/>
    <w:rsid w:val="00887E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7E46"/>
  </w:style>
  <w:style w:type="paragraph" w:styleId="Footer">
    <w:name w:val="footer"/>
    <w:basedOn w:val="Normal"/>
    <w:link w:val="FooterChar"/>
    <w:uiPriority w:val="99"/>
    <w:unhideWhenUsed/>
    <w:rsid w:val="00887E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7E46"/>
  </w:style>
  <w:style w:type="table" w:styleId="PlainTable1">
    <w:name w:val="Plain Table 1"/>
    <w:basedOn w:val="TableNormal"/>
    <w:uiPriority w:val="41"/>
    <w:rsid w:val="008153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E46B92"/>
    <w:rPr>
      <w:rFonts w:asciiTheme="majorHAnsi" w:eastAsiaTheme="majorEastAsia" w:hAnsiTheme="majorHAnsi" w:cstheme="majorBidi"/>
      <w:color w:val="2F5496" w:themeColor="accent1" w:themeShade="BF"/>
      <w:sz w:val="32"/>
      <w:szCs w:val="32"/>
    </w:rPr>
  </w:style>
  <w:style w:type="paragraph" w:customStyle="1" w:styleId="Default">
    <w:name w:val="Default"/>
    <w:rsid w:val="00BE2335"/>
    <w:pPr>
      <w:autoSpaceDE w:val="0"/>
      <w:autoSpaceDN w:val="0"/>
      <w:adjustRightInd w:val="0"/>
      <w:spacing w:after="0" w:line="240" w:lineRule="auto"/>
    </w:pPr>
    <w:rPr>
      <w:rFonts w:ascii="Calibri" w:hAnsi="Calibri" w:cs="Calibri"/>
      <w:color w:val="000000"/>
      <w:sz w:val="24"/>
      <w:szCs w:val="24"/>
    </w:rPr>
  </w:style>
  <w:style w:type="character" w:customStyle="1" w:styleId="ListParagraphChar">
    <w:name w:val="List Paragraph Char"/>
    <w:aliases w:val="Numbered List Paragraph Char,MCHIP_list paragraph Char,List Paragraph1 Char,Recommendation Char,Bullet List Char,FooterText Char,Heading3 Char,Bullets Char,List Paragraph (numbered (a)) Char,LIST OF TABLES. Char"/>
    <w:link w:val="ListParagraph"/>
    <w:uiPriority w:val="34"/>
    <w:locked/>
    <w:rsid w:val="00ED33EF"/>
  </w:style>
  <w:style w:type="character" w:styleId="CommentReference">
    <w:name w:val="annotation reference"/>
    <w:basedOn w:val="DefaultParagraphFont"/>
    <w:uiPriority w:val="99"/>
    <w:semiHidden/>
    <w:unhideWhenUsed/>
    <w:rsid w:val="00ED33EF"/>
    <w:rPr>
      <w:sz w:val="16"/>
      <w:szCs w:val="16"/>
    </w:rPr>
  </w:style>
  <w:style w:type="paragraph" w:styleId="CommentText">
    <w:name w:val="annotation text"/>
    <w:basedOn w:val="Normal"/>
    <w:link w:val="CommentTextChar"/>
    <w:uiPriority w:val="99"/>
    <w:semiHidden/>
    <w:unhideWhenUsed/>
    <w:rsid w:val="00ED33EF"/>
    <w:pPr>
      <w:spacing w:line="240" w:lineRule="auto"/>
    </w:pPr>
    <w:rPr>
      <w:sz w:val="20"/>
      <w:szCs w:val="20"/>
    </w:rPr>
  </w:style>
  <w:style w:type="character" w:customStyle="1" w:styleId="CommentTextChar">
    <w:name w:val="Comment Text Char"/>
    <w:basedOn w:val="DefaultParagraphFont"/>
    <w:link w:val="CommentText"/>
    <w:uiPriority w:val="99"/>
    <w:semiHidden/>
    <w:rsid w:val="00ED33EF"/>
    <w:rPr>
      <w:sz w:val="20"/>
      <w:szCs w:val="20"/>
    </w:rPr>
  </w:style>
  <w:style w:type="paragraph" w:styleId="BalloonText">
    <w:name w:val="Balloon Text"/>
    <w:basedOn w:val="Normal"/>
    <w:link w:val="BalloonTextChar"/>
    <w:uiPriority w:val="99"/>
    <w:semiHidden/>
    <w:unhideWhenUsed/>
    <w:rsid w:val="00ED33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3EF"/>
    <w:rPr>
      <w:rFonts w:ascii="Segoe UI" w:hAnsi="Segoe UI" w:cs="Segoe UI"/>
      <w:sz w:val="18"/>
      <w:szCs w:val="18"/>
    </w:rPr>
  </w:style>
  <w:style w:type="character" w:styleId="Emphasis">
    <w:name w:val="Emphasis"/>
    <w:basedOn w:val="DefaultParagraphFont"/>
    <w:uiPriority w:val="20"/>
    <w:qFormat/>
    <w:rsid w:val="00EF7215"/>
    <w:rPr>
      <w:i/>
      <w:iCs/>
    </w:rPr>
  </w:style>
  <w:style w:type="table" w:styleId="PlainTable2">
    <w:name w:val="Plain Table 2"/>
    <w:basedOn w:val="TableNormal"/>
    <w:uiPriority w:val="42"/>
    <w:rsid w:val="004D69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D2350C"/>
    <w:pPr>
      <w:outlineLvl w:val="9"/>
    </w:pPr>
  </w:style>
  <w:style w:type="paragraph" w:styleId="TOC1">
    <w:name w:val="toc 1"/>
    <w:basedOn w:val="Normal"/>
    <w:next w:val="Normal"/>
    <w:autoRedefine/>
    <w:uiPriority w:val="39"/>
    <w:unhideWhenUsed/>
    <w:rsid w:val="00D2350C"/>
    <w:pPr>
      <w:spacing w:after="100"/>
    </w:pPr>
  </w:style>
  <w:style w:type="character" w:styleId="Hyperlink">
    <w:name w:val="Hyperlink"/>
    <w:basedOn w:val="DefaultParagraphFont"/>
    <w:uiPriority w:val="99"/>
    <w:unhideWhenUsed/>
    <w:rsid w:val="00D2350C"/>
    <w:rPr>
      <w:color w:val="0563C1" w:themeColor="hyperlink"/>
      <w:u w:val="single"/>
    </w:rPr>
  </w:style>
  <w:style w:type="character" w:customStyle="1" w:styleId="Heading2Char">
    <w:name w:val="Heading 2 Char"/>
    <w:basedOn w:val="DefaultParagraphFont"/>
    <w:link w:val="Heading2"/>
    <w:uiPriority w:val="9"/>
    <w:rsid w:val="0040445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C7350"/>
    <w:pPr>
      <w:spacing w:after="100"/>
      <w:ind w:left="220"/>
    </w:pPr>
  </w:style>
  <w:style w:type="paragraph" w:customStyle="1" w:styleId="BulletedList">
    <w:name w:val="BulletedList"/>
    <w:basedOn w:val="NormalWeb"/>
    <w:link w:val="BulletedListChar"/>
    <w:rsid w:val="007653D0"/>
    <w:pPr>
      <w:numPr>
        <w:numId w:val="26"/>
      </w:numPr>
      <w:spacing w:before="120" w:after="120" w:line="240" w:lineRule="atLeast"/>
      <w:ind w:left="470" w:hanging="357"/>
    </w:pPr>
    <w:rPr>
      <w:rFonts w:asciiTheme="majorHAnsi" w:eastAsia="SimSun" w:hAnsiTheme="majorHAnsi" w:cstheme="minorHAnsi"/>
      <w:sz w:val="20"/>
      <w:szCs w:val="22"/>
      <w:lang w:val="en-GB" w:eastAsia="zh-CN"/>
    </w:rPr>
  </w:style>
  <w:style w:type="character" w:customStyle="1" w:styleId="BulletedListChar">
    <w:name w:val="BulletedList Char"/>
    <w:link w:val="BulletedList"/>
    <w:rsid w:val="007653D0"/>
    <w:rPr>
      <w:rFonts w:asciiTheme="majorHAnsi" w:eastAsia="SimSun" w:hAnsiTheme="majorHAnsi" w:cstheme="minorHAnsi"/>
      <w:sz w:val="20"/>
      <w:lang w:val="en-GB" w:eastAsia="zh-CN"/>
    </w:rPr>
  </w:style>
  <w:style w:type="paragraph" w:styleId="BodyText">
    <w:name w:val="Body Text"/>
    <w:basedOn w:val="Normal"/>
    <w:link w:val="BodyTextChar1"/>
    <w:rsid w:val="007653D0"/>
    <w:pPr>
      <w:spacing w:after="0" w:line="240" w:lineRule="auto"/>
    </w:pPr>
    <w:rPr>
      <w:rFonts w:asciiTheme="majorHAnsi" w:eastAsia="SimSun" w:hAnsiTheme="majorHAnsi" w:cs="Times New Roman"/>
      <w:sz w:val="20"/>
      <w:szCs w:val="24"/>
      <w:lang w:eastAsia="zh-CN"/>
    </w:rPr>
  </w:style>
  <w:style w:type="character" w:customStyle="1" w:styleId="BodyTextChar">
    <w:name w:val="Body Text Char"/>
    <w:basedOn w:val="DefaultParagraphFont"/>
    <w:uiPriority w:val="99"/>
    <w:semiHidden/>
    <w:rsid w:val="007653D0"/>
  </w:style>
  <w:style w:type="character" w:customStyle="1" w:styleId="BodyTextChar1">
    <w:name w:val="Body Text Char1"/>
    <w:link w:val="BodyText"/>
    <w:rsid w:val="007653D0"/>
    <w:rPr>
      <w:rFonts w:asciiTheme="majorHAnsi" w:eastAsia="SimSun" w:hAnsiTheme="majorHAnsi" w:cs="Times New Roman"/>
      <w:sz w:val="20"/>
      <w:szCs w:val="24"/>
      <w:lang w:eastAsia="zh-CN"/>
    </w:rPr>
  </w:style>
  <w:style w:type="paragraph" w:styleId="NormalWeb">
    <w:name w:val="Normal (Web)"/>
    <w:basedOn w:val="Normal"/>
    <w:uiPriority w:val="99"/>
    <w:semiHidden/>
    <w:unhideWhenUsed/>
    <w:rsid w:val="007653D0"/>
    <w:rPr>
      <w:rFonts w:ascii="Times New Roman" w:hAnsi="Times New Roman" w:cs="Times New Roman"/>
      <w:sz w:val="24"/>
      <w:szCs w:val="24"/>
      <w:lang w:val="en-ZA"/>
    </w:rPr>
  </w:style>
  <w:style w:type="character" w:customStyle="1" w:styleId="Heading3Char">
    <w:name w:val="Heading 3 Char"/>
    <w:basedOn w:val="DefaultParagraphFont"/>
    <w:link w:val="Heading3"/>
    <w:uiPriority w:val="9"/>
    <w:rsid w:val="007653D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653D0"/>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7653D0"/>
    <w:pPr>
      <w:spacing w:after="100"/>
      <w:ind w:left="440"/>
    </w:pPr>
  </w:style>
  <w:style w:type="paragraph" w:styleId="NoSpacing">
    <w:name w:val="No Spacing"/>
    <w:uiPriority w:val="1"/>
    <w:qFormat/>
    <w:rsid w:val="00DA556A"/>
    <w:pPr>
      <w:spacing w:after="0" w:line="240" w:lineRule="auto"/>
    </w:pPr>
    <w:rPr>
      <w:sz w:val="24"/>
      <w:szCs w:val="24"/>
    </w:rPr>
  </w:style>
  <w:style w:type="paragraph" w:styleId="FootnoteText">
    <w:name w:val="footnote text"/>
    <w:basedOn w:val="Normal"/>
    <w:link w:val="FootnoteTextChar"/>
    <w:uiPriority w:val="99"/>
    <w:semiHidden/>
    <w:unhideWhenUsed/>
    <w:rsid w:val="00AA66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665C"/>
    <w:rPr>
      <w:sz w:val="20"/>
      <w:szCs w:val="20"/>
    </w:rPr>
  </w:style>
  <w:style w:type="character" w:styleId="FootnoteReference">
    <w:name w:val="footnote reference"/>
    <w:basedOn w:val="DefaultParagraphFont"/>
    <w:uiPriority w:val="99"/>
    <w:semiHidden/>
    <w:unhideWhenUsed/>
    <w:rsid w:val="00AA665C"/>
    <w:rPr>
      <w:vertAlign w:val="superscript"/>
    </w:rPr>
  </w:style>
  <w:style w:type="paragraph" w:styleId="Caption">
    <w:name w:val="caption"/>
    <w:basedOn w:val="Normal"/>
    <w:next w:val="Normal"/>
    <w:uiPriority w:val="35"/>
    <w:unhideWhenUsed/>
    <w:qFormat/>
    <w:rsid w:val="0045009E"/>
    <w:pPr>
      <w:spacing w:after="200" w:line="240" w:lineRule="auto"/>
    </w:pPr>
    <w:rPr>
      <w:i/>
      <w:iCs/>
      <w:color w:val="44546A" w:themeColor="text2"/>
      <w:sz w:val="18"/>
      <w:szCs w:val="18"/>
    </w:rPr>
  </w:style>
  <w:style w:type="paragraph" w:styleId="CommentSubject">
    <w:name w:val="annotation subject"/>
    <w:basedOn w:val="CommentText"/>
    <w:next w:val="CommentText"/>
    <w:link w:val="CommentSubjectChar"/>
    <w:uiPriority w:val="99"/>
    <w:semiHidden/>
    <w:unhideWhenUsed/>
    <w:rsid w:val="00021228"/>
    <w:rPr>
      <w:b/>
      <w:bCs/>
    </w:rPr>
  </w:style>
  <w:style w:type="character" w:customStyle="1" w:styleId="CommentSubjectChar">
    <w:name w:val="Comment Subject Char"/>
    <w:basedOn w:val="CommentTextChar"/>
    <w:link w:val="CommentSubject"/>
    <w:uiPriority w:val="99"/>
    <w:semiHidden/>
    <w:rsid w:val="00021228"/>
    <w:rPr>
      <w:b/>
      <w:bCs/>
      <w:sz w:val="20"/>
      <w:szCs w:val="20"/>
    </w:rPr>
  </w:style>
  <w:style w:type="character" w:styleId="UnresolvedMention">
    <w:name w:val="Unresolved Mention"/>
    <w:basedOn w:val="DefaultParagraphFont"/>
    <w:uiPriority w:val="99"/>
    <w:semiHidden/>
    <w:unhideWhenUsed/>
    <w:rsid w:val="00B013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3434">
      <w:bodyDiv w:val="1"/>
      <w:marLeft w:val="0"/>
      <w:marRight w:val="0"/>
      <w:marTop w:val="0"/>
      <w:marBottom w:val="0"/>
      <w:divBdr>
        <w:top w:val="none" w:sz="0" w:space="0" w:color="auto"/>
        <w:left w:val="none" w:sz="0" w:space="0" w:color="auto"/>
        <w:bottom w:val="none" w:sz="0" w:space="0" w:color="auto"/>
        <w:right w:val="none" w:sz="0" w:space="0" w:color="auto"/>
      </w:divBdr>
    </w:div>
    <w:div w:id="180708715">
      <w:bodyDiv w:val="1"/>
      <w:marLeft w:val="0"/>
      <w:marRight w:val="0"/>
      <w:marTop w:val="0"/>
      <w:marBottom w:val="0"/>
      <w:divBdr>
        <w:top w:val="none" w:sz="0" w:space="0" w:color="auto"/>
        <w:left w:val="none" w:sz="0" w:space="0" w:color="auto"/>
        <w:bottom w:val="none" w:sz="0" w:space="0" w:color="auto"/>
        <w:right w:val="none" w:sz="0" w:space="0" w:color="auto"/>
      </w:divBdr>
      <w:divsChild>
        <w:div w:id="218706557">
          <w:marLeft w:val="274"/>
          <w:marRight w:val="0"/>
          <w:marTop w:val="0"/>
          <w:marBottom w:val="0"/>
          <w:divBdr>
            <w:top w:val="none" w:sz="0" w:space="0" w:color="auto"/>
            <w:left w:val="none" w:sz="0" w:space="0" w:color="auto"/>
            <w:bottom w:val="none" w:sz="0" w:space="0" w:color="auto"/>
            <w:right w:val="none" w:sz="0" w:space="0" w:color="auto"/>
          </w:divBdr>
        </w:div>
        <w:div w:id="266239053">
          <w:marLeft w:val="274"/>
          <w:marRight w:val="0"/>
          <w:marTop w:val="0"/>
          <w:marBottom w:val="0"/>
          <w:divBdr>
            <w:top w:val="none" w:sz="0" w:space="0" w:color="auto"/>
            <w:left w:val="none" w:sz="0" w:space="0" w:color="auto"/>
            <w:bottom w:val="none" w:sz="0" w:space="0" w:color="auto"/>
            <w:right w:val="none" w:sz="0" w:space="0" w:color="auto"/>
          </w:divBdr>
        </w:div>
        <w:div w:id="372849027">
          <w:marLeft w:val="274"/>
          <w:marRight w:val="0"/>
          <w:marTop w:val="0"/>
          <w:marBottom w:val="0"/>
          <w:divBdr>
            <w:top w:val="none" w:sz="0" w:space="0" w:color="auto"/>
            <w:left w:val="none" w:sz="0" w:space="0" w:color="auto"/>
            <w:bottom w:val="none" w:sz="0" w:space="0" w:color="auto"/>
            <w:right w:val="none" w:sz="0" w:space="0" w:color="auto"/>
          </w:divBdr>
        </w:div>
        <w:div w:id="845479995">
          <w:marLeft w:val="274"/>
          <w:marRight w:val="0"/>
          <w:marTop w:val="0"/>
          <w:marBottom w:val="0"/>
          <w:divBdr>
            <w:top w:val="none" w:sz="0" w:space="0" w:color="auto"/>
            <w:left w:val="none" w:sz="0" w:space="0" w:color="auto"/>
            <w:bottom w:val="none" w:sz="0" w:space="0" w:color="auto"/>
            <w:right w:val="none" w:sz="0" w:space="0" w:color="auto"/>
          </w:divBdr>
        </w:div>
        <w:div w:id="1775634519">
          <w:marLeft w:val="274"/>
          <w:marRight w:val="0"/>
          <w:marTop w:val="0"/>
          <w:marBottom w:val="0"/>
          <w:divBdr>
            <w:top w:val="none" w:sz="0" w:space="0" w:color="auto"/>
            <w:left w:val="none" w:sz="0" w:space="0" w:color="auto"/>
            <w:bottom w:val="none" w:sz="0" w:space="0" w:color="auto"/>
            <w:right w:val="none" w:sz="0" w:space="0" w:color="auto"/>
          </w:divBdr>
        </w:div>
      </w:divsChild>
    </w:div>
    <w:div w:id="303894722">
      <w:bodyDiv w:val="1"/>
      <w:marLeft w:val="0"/>
      <w:marRight w:val="0"/>
      <w:marTop w:val="0"/>
      <w:marBottom w:val="0"/>
      <w:divBdr>
        <w:top w:val="none" w:sz="0" w:space="0" w:color="auto"/>
        <w:left w:val="none" w:sz="0" w:space="0" w:color="auto"/>
        <w:bottom w:val="none" w:sz="0" w:space="0" w:color="auto"/>
        <w:right w:val="none" w:sz="0" w:space="0" w:color="auto"/>
      </w:divBdr>
      <w:divsChild>
        <w:div w:id="243074951">
          <w:marLeft w:val="274"/>
          <w:marRight w:val="0"/>
          <w:marTop w:val="0"/>
          <w:marBottom w:val="0"/>
          <w:divBdr>
            <w:top w:val="none" w:sz="0" w:space="0" w:color="auto"/>
            <w:left w:val="none" w:sz="0" w:space="0" w:color="auto"/>
            <w:bottom w:val="none" w:sz="0" w:space="0" w:color="auto"/>
            <w:right w:val="none" w:sz="0" w:space="0" w:color="auto"/>
          </w:divBdr>
        </w:div>
        <w:div w:id="680081629">
          <w:marLeft w:val="274"/>
          <w:marRight w:val="0"/>
          <w:marTop w:val="0"/>
          <w:marBottom w:val="0"/>
          <w:divBdr>
            <w:top w:val="none" w:sz="0" w:space="0" w:color="auto"/>
            <w:left w:val="none" w:sz="0" w:space="0" w:color="auto"/>
            <w:bottom w:val="none" w:sz="0" w:space="0" w:color="auto"/>
            <w:right w:val="none" w:sz="0" w:space="0" w:color="auto"/>
          </w:divBdr>
        </w:div>
        <w:div w:id="982545695">
          <w:marLeft w:val="274"/>
          <w:marRight w:val="0"/>
          <w:marTop w:val="0"/>
          <w:marBottom w:val="0"/>
          <w:divBdr>
            <w:top w:val="none" w:sz="0" w:space="0" w:color="auto"/>
            <w:left w:val="none" w:sz="0" w:space="0" w:color="auto"/>
            <w:bottom w:val="none" w:sz="0" w:space="0" w:color="auto"/>
            <w:right w:val="none" w:sz="0" w:space="0" w:color="auto"/>
          </w:divBdr>
        </w:div>
        <w:div w:id="1215577613">
          <w:marLeft w:val="274"/>
          <w:marRight w:val="0"/>
          <w:marTop w:val="0"/>
          <w:marBottom w:val="0"/>
          <w:divBdr>
            <w:top w:val="none" w:sz="0" w:space="0" w:color="auto"/>
            <w:left w:val="none" w:sz="0" w:space="0" w:color="auto"/>
            <w:bottom w:val="none" w:sz="0" w:space="0" w:color="auto"/>
            <w:right w:val="none" w:sz="0" w:space="0" w:color="auto"/>
          </w:divBdr>
        </w:div>
      </w:divsChild>
    </w:div>
    <w:div w:id="308829307">
      <w:bodyDiv w:val="1"/>
      <w:marLeft w:val="0"/>
      <w:marRight w:val="0"/>
      <w:marTop w:val="0"/>
      <w:marBottom w:val="0"/>
      <w:divBdr>
        <w:top w:val="none" w:sz="0" w:space="0" w:color="auto"/>
        <w:left w:val="none" w:sz="0" w:space="0" w:color="auto"/>
        <w:bottom w:val="none" w:sz="0" w:space="0" w:color="auto"/>
        <w:right w:val="none" w:sz="0" w:space="0" w:color="auto"/>
      </w:divBdr>
    </w:div>
    <w:div w:id="320013686">
      <w:bodyDiv w:val="1"/>
      <w:marLeft w:val="0"/>
      <w:marRight w:val="0"/>
      <w:marTop w:val="0"/>
      <w:marBottom w:val="0"/>
      <w:divBdr>
        <w:top w:val="none" w:sz="0" w:space="0" w:color="auto"/>
        <w:left w:val="none" w:sz="0" w:space="0" w:color="auto"/>
        <w:bottom w:val="none" w:sz="0" w:space="0" w:color="auto"/>
        <w:right w:val="none" w:sz="0" w:space="0" w:color="auto"/>
      </w:divBdr>
    </w:div>
    <w:div w:id="360784941">
      <w:bodyDiv w:val="1"/>
      <w:marLeft w:val="0"/>
      <w:marRight w:val="0"/>
      <w:marTop w:val="0"/>
      <w:marBottom w:val="0"/>
      <w:divBdr>
        <w:top w:val="none" w:sz="0" w:space="0" w:color="auto"/>
        <w:left w:val="none" w:sz="0" w:space="0" w:color="auto"/>
        <w:bottom w:val="none" w:sz="0" w:space="0" w:color="auto"/>
        <w:right w:val="none" w:sz="0" w:space="0" w:color="auto"/>
      </w:divBdr>
      <w:divsChild>
        <w:div w:id="259484235">
          <w:marLeft w:val="274"/>
          <w:marRight w:val="0"/>
          <w:marTop w:val="0"/>
          <w:marBottom w:val="0"/>
          <w:divBdr>
            <w:top w:val="none" w:sz="0" w:space="0" w:color="auto"/>
            <w:left w:val="none" w:sz="0" w:space="0" w:color="auto"/>
            <w:bottom w:val="none" w:sz="0" w:space="0" w:color="auto"/>
            <w:right w:val="none" w:sz="0" w:space="0" w:color="auto"/>
          </w:divBdr>
        </w:div>
        <w:div w:id="618493465">
          <w:marLeft w:val="274"/>
          <w:marRight w:val="0"/>
          <w:marTop w:val="0"/>
          <w:marBottom w:val="0"/>
          <w:divBdr>
            <w:top w:val="none" w:sz="0" w:space="0" w:color="auto"/>
            <w:left w:val="none" w:sz="0" w:space="0" w:color="auto"/>
            <w:bottom w:val="none" w:sz="0" w:space="0" w:color="auto"/>
            <w:right w:val="none" w:sz="0" w:space="0" w:color="auto"/>
          </w:divBdr>
        </w:div>
        <w:div w:id="797262233">
          <w:marLeft w:val="274"/>
          <w:marRight w:val="0"/>
          <w:marTop w:val="0"/>
          <w:marBottom w:val="0"/>
          <w:divBdr>
            <w:top w:val="none" w:sz="0" w:space="0" w:color="auto"/>
            <w:left w:val="none" w:sz="0" w:space="0" w:color="auto"/>
            <w:bottom w:val="none" w:sz="0" w:space="0" w:color="auto"/>
            <w:right w:val="none" w:sz="0" w:space="0" w:color="auto"/>
          </w:divBdr>
        </w:div>
        <w:div w:id="1166477481">
          <w:marLeft w:val="274"/>
          <w:marRight w:val="0"/>
          <w:marTop w:val="0"/>
          <w:marBottom w:val="0"/>
          <w:divBdr>
            <w:top w:val="none" w:sz="0" w:space="0" w:color="auto"/>
            <w:left w:val="none" w:sz="0" w:space="0" w:color="auto"/>
            <w:bottom w:val="none" w:sz="0" w:space="0" w:color="auto"/>
            <w:right w:val="none" w:sz="0" w:space="0" w:color="auto"/>
          </w:divBdr>
        </w:div>
        <w:div w:id="1917978843">
          <w:marLeft w:val="274"/>
          <w:marRight w:val="0"/>
          <w:marTop w:val="0"/>
          <w:marBottom w:val="0"/>
          <w:divBdr>
            <w:top w:val="none" w:sz="0" w:space="0" w:color="auto"/>
            <w:left w:val="none" w:sz="0" w:space="0" w:color="auto"/>
            <w:bottom w:val="none" w:sz="0" w:space="0" w:color="auto"/>
            <w:right w:val="none" w:sz="0" w:space="0" w:color="auto"/>
          </w:divBdr>
        </w:div>
      </w:divsChild>
    </w:div>
    <w:div w:id="415904336">
      <w:bodyDiv w:val="1"/>
      <w:marLeft w:val="0"/>
      <w:marRight w:val="0"/>
      <w:marTop w:val="0"/>
      <w:marBottom w:val="0"/>
      <w:divBdr>
        <w:top w:val="none" w:sz="0" w:space="0" w:color="auto"/>
        <w:left w:val="none" w:sz="0" w:space="0" w:color="auto"/>
        <w:bottom w:val="none" w:sz="0" w:space="0" w:color="auto"/>
        <w:right w:val="none" w:sz="0" w:space="0" w:color="auto"/>
      </w:divBdr>
    </w:div>
    <w:div w:id="451365913">
      <w:bodyDiv w:val="1"/>
      <w:marLeft w:val="0"/>
      <w:marRight w:val="0"/>
      <w:marTop w:val="0"/>
      <w:marBottom w:val="0"/>
      <w:divBdr>
        <w:top w:val="none" w:sz="0" w:space="0" w:color="auto"/>
        <w:left w:val="none" w:sz="0" w:space="0" w:color="auto"/>
        <w:bottom w:val="none" w:sz="0" w:space="0" w:color="auto"/>
        <w:right w:val="none" w:sz="0" w:space="0" w:color="auto"/>
      </w:divBdr>
      <w:divsChild>
        <w:div w:id="390157410">
          <w:marLeft w:val="274"/>
          <w:marRight w:val="0"/>
          <w:marTop w:val="0"/>
          <w:marBottom w:val="0"/>
          <w:divBdr>
            <w:top w:val="none" w:sz="0" w:space="0" w:color="auto"/>
            <w:left w:val="none" w:sz="0" w:space="0" w:color="auto"/>
            <w:bottom w:val="none" w:sz="0" w:space="0" w:color="auto"/>
            <w:right w:val="none" w:sz="0" w:space="0" w:color="auto"/>
          </w:divBdr>
        </w:div>
        <w:div w:id="896165516">
          <w:marLeft w:val="274"/>
          <w:marRight w:val="0"/>
          <w:marTop w:val="0"/>
          <w:marBottom w:val="0"/>
          <w:divBdr>
            <w:top w:val="none" w:sz="0" w:space="0" w:color="auto"/>
            <w:left w:val="none" w:sz="0" w:space="0" w:color="auto"/>
            <w:bottom w:val="none" w:sz="0" w:space="0" w:color="auto"/>
            <w:right w:val="none" w:sz="0" w:space="0" w:color="auto"/>
          </w:divBdr>
        </w:div>
        <w:div w:id="951595399">
          <w:marLeft w:val="274"/>
          <w:marRight w:val="0"/>
          <w:marTop w:val="0"/>
          <w:marBottom w:val="0"/>
          <w:divBdr>
            <w:top w:val="none" w:sz="0" w:space="0" w:color="auto"/>
            <w:left w:val="none" w:sz="0" w:space="0" w:color="auto"/>
            <w:bottom w:val="none" w:sz="0" w:space="0" w:color="auto"/>
            <w:right w:val="none" w:sz="0" w:space="0" w:color="auto"/>
          </w:divBdr>
        </w:div>
        <w:div w:id="1247764967">
          <w:marLeft w:val="274"/>
          <w:marRight w:val="0"/>
          <w:marTop w:val="0"/>
          <w:marBottom w:val="0"/>
          <w:divBdr>
            <w:top w:val="none" w:sz="0" w:space="0" w:color="auto"/>
            <w:left w:val="none" w:sz="0" w:space="0" w:color="auto"/>
            <w:bottom w:val="none" w:sz="0" w:space="0" w:color="auto"/>
            <w:right w:val="none" w:sz="0" w:space="0" w:color="auto"/>
          </w:divBdr>
        </w:div>
      </w:divsChild>
    </w:div>
    <w:div w:id="453642077">
      <w:bodyDiv w:val="1"/>
      <w:marLeft w:val="0"/>
      <w:marRight w:val="0"/>
      <w:marTop w:val="0"/>
      <w:marBottom w:val="0"/>
      <w:divBdr>
        <w:top w:val="none" w:sz="0" w:space="0" w:color="auto"/>
        <w:left w:val="none" w:sz="0" w:space="0" w:color="auto"/>
        <w:bottom w:val="none" w:sz="0" w:space="0" w:color="auto"/>
        <w:right w:val="none" w:sz="0" w:space="0" w:color="auto"/>
      </w:divBdr>
    </w:div>
    <w:div w:id="464852699">
      <w:bodyDiv w:val="1"/>
      <w:marLeft w:val="0"/>
      <w:marRight w:val="0"/>
      <w:marTop w:val="0"/>
      <w:marBottom w:val="0"/>
      <w:divBdr>
        <w:top w:val="none" w:sz="0" w:space="0" w:color="auto"/>
        <w:left w:val="none" w:sz="0" w:space="0" w:color="auto"/>
        <w:bottom w:val="none" w:sz="0" w:space="0" w:color="auto"/>
        <w:right w:val="none" w:sz="0" w:space="0" w:color="auto"/>
      </w:divBdr>
    </w:div>
    <w:div w:id="465590398">
      <w:bodyDiv w:val="1"/>
      <w:marLeft w:val="0"/>
      <w:marRight w:val="0"/>
      <w:marTop w:val="0"/>
      <w:marBottom w:val="0"/>
      <w:divBdr>
        <w:top w:val="none" w:sz="0" w:space="0" w:color="auto"/>
        <w:left w:val="none" w:sz="0" w:space="0" w:color="auto"/>
        <w:bottom w:val="none" w:sz="0" w:space="0" w:color="auto"/>
        <w:right w:val="none" w:sz="0" w:space="0" w:color="auto"/>
      </w:divBdr>
    </w:div>
    <w:div w:id="506675443">
      <w:bodyDiv w:val="1"/>
      <w:marLeft w:val="0"/>
      <w:marRight w:val="0"/>
      <w:marTop w:val="0"/>
      <w:marBottom w:val="0"/>
      <w:divBdr>
        <w:top w:val="none" w:sz="0" w:space="0" w:color="auto"/>
        <w:left w:val="none" w:sz="0" w:space="0" w:color="auto"/>
        <w:bottom w:val="none" w:sz="0" w:space="0" w:color="auto"/>
        <w:right w:val="none" w:sz="0" w:space="0" w:color="auto"/>
      </w:divBdr>
    </w:div>
    <w:div w:id="569003359">
      <w:bodyDiv w:val="1"/>
      <w:marLeft w:val="0"/>
      <w:marRight w:val="0"/>
      <w:marTop w:val="0"/>
      <w:marBottom w:val="0"/>
      <w:divBdr>
        <w:top w:val="none" w:sz="0" w:space="0" w:color="auto"/>
        <w:left w:val="none" w:sz="0" w:space="0" w:color="auto"/>
        <w:bottom w:val="none" w:sz="0" w:space="0" w:color="auto"/>
        <w:right w:val="none" w:sz="0" w:space="0" w:color="auto"/>
      </w:divBdr>
    </w:div>
    <w:div w:id="615601816">
      <w:bodyDiv w:val="1"/>
      <w:marLeft w:val="0"/>
      <w:marRight w:val="0"/>
      <w:marTop w:val="0"/>
      <w:marBottom w:val="0"/>
      <w:divBdr>
        <w:top w:val="none" w:sz="0" w:space="0" w:color="auto"/>
        <w:left w:val="none" w:sz="0" w:space="0" w:color="auto"/>
        <w:bottom w:val="none" w:sz="0" w:space="0" w:color="auto"/>
        <w:right w:val="none" w:sz="0" w:space="0" w:color="auto"/>
      </w:divBdr>
    </w:div>
    <w:div w:id="655647480">
      <w:bodyDiv w:val="1"/>
      <w:marLeft w:val="0"/>
      <w:marRight w:val="0"/>
      <w:marTop w:val="0"/>
      <w:marBottom w:val="0"/>
      <w:divBdr>
        <w:top w:val="none" w:sz="0" w:space="0" w:color="auto"/>
        <w:left w:val="none" w:sz="0" w:space="0" w:color="auto"/>
        <w:bottom w:val="none" w:sz="0" w:space="0" w:color="auto"/>
        <w:right w:val="none" w:sz="0" w:space="0" w:color="auto"/>
      </w:divBdr>
    </w:div>
    <w:div w:id="674846644">
      <w:bodyDiv w:val="1"/>
      <w:marLeft w:val="0"/>
      <w:marRight w:val="0"/>
      <w:marTop w:val="0"/>
      <w:marBottom w:val="0"/>
      <w:divBdr>
        <w:top w:val="none" w:sz="0" w:space="0" w:color="auto"/>
        <w:left w:val="none" w:sz="0" w:space="0" w:color="auto"/>
        <w:bottom w:val="none" w:sz="0" w:space="0" w:color="auto"/>
        <w:right w:val="none" w:sz="0" w:space="0" w:color="auto"/>
      </w:divBdr>
    </w:div>
    <w:div w:id="712077017">
      <w:bodyDiv w:val="1"/>
      <w:marLeft w:val="0"/>
      <w:marRight w:val="0"/>
      <w:marTop w:val="0"/>
      <w:marBottom w:val="0"/>
      <w:divBdr>
        <w:top w:val="none" w:sz="0" w:space="0" w:color="auto"/>
        <w:left w:val="none" w:sz="0" w:space="0" w:color="auto"/>
        <w:bottom w:val="none" w:sz="0" w:space="0" w:color="auto"/>
        <w:right w:val="none" w:sz="0" w:space="0" w:color="auto"/>
      </w:divBdr>
    </w:div>
    <w:div w:id="765225069">
      <w:bodyDiv w:val="1"/>
      <w:marLeft w:val="0"/>
      <w:marRight w:val="0"/>
      <w:marTop w:val="0"/>
      <w:marBottom w:val="0"/>
      <w:divBdr>
        <w:top w:val="none" w:sz="0" w:space="0" w:color="auto"/>
        <w:left w:val="none" w:sz="0" w:space="0" w:color="auto"/>
        <w:bottom w:val="none" w:sz="0" w:space="0" w:color="auto"/>
        <w:right w:val="none" w:sz="0" w:space="0" w:color="auto"/>
      </w:divBdr>
    </w:div>
    <w:div w:id="830026621">
      <w:bodyDiv w:val="1"/>
      <w:marLeft w:val="0"/>
      <w:marRight w:val="0"/>
      <w:marTop w:val="0"/>
      <w:marBottom w:val="0"/>
      <w:divBdr>
        <w:top w:val="none" w:sz="0" w:space="0" w:color="auto"/>
        <w:left w:val="none" w:sz="0" w:space="0" w:color="auto"/>
        <w:bottom w:val="none" w:sz="0" w:space="0" w:color="auto"/>
        <w:right w:val="none" w:sz="0" w:space="0" w:color="auto"/>
      </w:divBdr>
    </w:div>
    <w:div w:id="913007838">
      <w:bodyDiv w:val="1"/>
      <w:marLeft w:val="0"/>
      <w:marRight w:val="0"/>
      <w:marTop w:val="0"/>
      <w:marBottom w:val="0"/>
      <w:divBdr>
        <w:top w:val="none" w:sz="0" w:space="0" w:color="auto"/>
        <w:left w:val="none" w:sz="0" w:space="0" w:color="auto"/>
        <w:bottom w:val="none" w:sz="0" w:space="0" w:color="auto"/>
        <w:right w:val="none" w:sz="0" w:space="0" w:color="auto"/>
      </w:divBdr>
    </w:div>
    <w:div w:id="1081680413">
      <w:bodyDiv w:val="1"/>
      <w:marLeft w:val="0"/>
      <w:marRight w:val="0"/>
      <w:marTop w:val="0"/>
      <w:marBottom w:val="0"/>
      <w:divBdr>
        <w:top w:val="none" w:sz="0" w:space="0" w:color="auto"/>
        <w:left w:val="none" w:sz="0" w:space="0" w:color="auto"/>
        <w:bottom w:val="none" w:sz="0" w:space="0" w:color="auto"/>
        <w:right w:val="none" w:sz="0" w:space="0" w:color="auto"/>
      </w:divBdr>
    </w:div>
    <w:div w:id="1170831559">
      <w:bodyDiv w:val="1"/>
      <w:marLeft w:val="0"/>
      <w:marRight w:val="0"/>
      <w:marTop w:val="0"/>
      <w:marBottom w:val="0"/>
      <w:divBdr>
        <w:top w:val="none" w:sz="0" w:space="0" w:color="auto"/>
        <w:left w:val="none" w:sz="0" w:space="0" w:color="auto"/>
        <w:bottom w:val="none" w:sz="0" w:space="0" w:color="auto"/>
        <w:right w:val="none" w:sz="0" w:space="0" w:color="auto"/>
      </w:divBdr>
    </w:div>
    <w:div w:id="1183208722">
      <w:bodyDiv w:val="1"/>
      <w:marLeft w:val="0"/>
      <w:marRight w:val="0"/>
      <w:marTop w:val="0"/>
      <w:marBottom w:val="0"/>
      <w:divBdr>
        <w:top w:val="none" w:sz="0" w:space="0" w:color="auto"/>
        <w:left w:val="none" w:sz="0" w:space="0" w:color="auto"/>
        <w:bottom w:val="none" w:sz="0" w:space="0" w:color="auto"/>
        <w:right w:val="none" w:sz="0" w:space="0" w:color="auto"/>
      </w:divBdr>
      <w:divsChild>
        <w:div w:id="28847736">
          <w:marLeft w:val="274"/>
          <w:marRight w:val="0"/>
          <w:marTop w:val="0"/>
          <w:marBottom w:val="0"/>
          <w:divBdr>
            <w:top w:val="none" w:sz="0" w:space="0" w:color="auto"/>
            <w:left w:val="none" w:sz="0" w:space="0" w:color="auto"/>
            <w:bottom w:val="none" w:sz="0" w:space="0" w:color="auto"/>
            <w:right w:val="none" w:sz="0" w:space="0" w:color="auto"/>
          </w:divBdr>
        </w:div>
        <w:div w:id="869995772">
          <w:marLeft w:val="274"/>
          <w:marRight w:val="0"/>
          <w:marTop w:val="0"/>
          <w:marBottom w:val="0"/>
          <w:divBdr>
            <w:top w:val="none" w:sz="0" w:space="0" w:color="auto"/>
            <w:left w:val="none" w:sz="0" w:space="0" w:color="auto"/>
            <w:bottom w:val="none" w:sz="0" w:space="0" w:color="auto"/>
            <w:right w:val="none" w:sz="0" w:space="0" w:color="auto"/>
          </w:divBdr>
        </w:div>
        <w:div w:id="947589027">
          <w:marLeft w:val="274"/>
          <w:marRight w:val="0"/>
          <w:marTop w:val="0"/>
          <w:marBottom w:val="0"/>
          <w:divBdr>
            <w:top w:val="none" w:sz="0" w:space="0" w:color="auto"/>
            <w:left w:val="none" w:sz="0" w:space="0" w:color="auto"/>
            <w:bottom w:val="none" w:sz="0" w:space="0" w:color="auto"/>
            <w:right w:val="none" w:sz="0" w:space="0" w:color="auto"/>
          </w:divBdr>
        </w:div>
        <w:div w:id="971985620">
          <w:marLeft w:val="274"/>
          <w:marRight w:val="0"/>
          <w:marTop w:val="0"/>
          <w:marBottom w:val="0"/>
          <w:divBdr>
            <w:top w:val="none" w:sz="0" w:space="0" w:color="auto"/>
            <w:left w:val="none" w:sz="0" w:space="0" w:color="auto"/>
            <w:bottom w:val="none" w:sz="0" w:space="0" w:color="auto"/>
            <w:right w:val="none" w:sz="0" w:space="0" w:color="auto"/>
          </w:divBdr>
        </w:div>
        <w:div w:id="2076319995">
          <w:marLeft w:val="274"/>
          <w:marRight w:val="0"/>
          <w:marTop w:val="0"/>
          <w:marBottom w:val="0"/>
          <w:divBdr>
            <w:top w:val="none" w:sz="0" w:space="0" w:color="auto"/>
            <w:left w:val="none" w:sz="0" w:space="0" w:color="auto"/>
            <w:bottom w:val="none" w:sz="0" w:space="0" w:color="auto"/>
            <w:right w:val="none" w:sz="0" w:space="0" w:color="auto"/>
          </w:divBdr>
        </w:div>
      </w:divsChild>
    </w:div>
    <w:div w:id="1261723656">
      <w:bodyDiv w:val="1"/>
      <w:marLeft w:val="0"/>
      <w:marRight w:val="0"/>
      <w:marTop w:val="0"/>
      <w:marBottom w:val="0"/>
      <w:divBdr>
        <w:top w:val="none" w:sz="0" w:space="0" w:color="auto"/>
        <w:left w:val="none" w:sz="0" w:space="0" w:color="auto"/>
        <w:bottom w:val="none" w:sz="0" w:space="0" w:color="auto"/>
        <w:right w:val="none" w:sz="0" w:space="0" w:color="auto"/>
      </w:divBdr>
    </w:div>
    <w:div w:id="1403916065">
      <w:bodyDiv w:val="1"/>
      <w:marLeft w:val="0"/>
      <w:marRight w:val="0"/>
      <w:marTop w:val="0"/>
      <w:marBottom w:val="0"/>
      <w:divBdr>
        <w:top w:val="none" w:sz="0" w:space="0" w:color="auto"/>
        <w:left w:val="none" w:sz="0" w:space="0" w:color="auto"/>
        <w:bottom w:val="none" w:sz="0" w:space="0" w:color="auto"/>
        <w:right w:val="none" w:sz="0" w:space="0" w:color="auto"/>
      </w:divBdr>
    </w:div>
    <w:div w:id="1436437099">
      <w:bodyDiv w:val="1"/>
      <w:marLeft w:val="0"/>
      <w:marRight w:val="0"/>
      <w:marTop w:val="0"/>
      <w:marBottom w:val="0"/>
      <w:divBdr>
        <w:top w:val="none" w:sz="0" w:space="0" w:color="auto"/>
        <w:left w:val="none" w:sz="0" w:space="0" w:color="auto"/>
        <w:bottom w:val="none" w:sz="0" w:space="0" w:color="auto"/>
        <w:right w:val="none" w:sz="0" w:space="0" w:color="auto"/>
      </w:divBdr>
    </w:div>
    <w:div w:id="1469204319">
      <w:bodyDiv w:val="1"/>
      <w:marLeft w:val="0"/>
      <w:marRight w:val="0"/>
      <w:marTop w:val="0"/>
      <w:marBottom w:val="0"/>
      <w:divBdr>
        <w:top w:val="none" w:sz="0" w:space="0" w:color="auto"/>
        <w:left w:val="none" w:sz="0" w:space="0" w:color="auto"/>
        <w:bottom w:val="none" w:sz="0" w:space="0" w:color="auto"/>
        <w:right w:val="none" w:sz="0" w:space="0" w:color="auto"/>
      </w:divBdr>
    </w:div>
    <w:div w:id="1472820040">
      <w:bodyDiv w:val="1"/>
      <w:marLeft w:val="0"/>
      <w:marRight w:val="0"/>
      <w:marTop w:val="0"/>
      <w:marBottom w:val="0"/>
      <w:divBdr>
        <w:top w:val="none" w:sz="0" w:space="0" w:color="auto"/>
        <w:left w:val="none" w:sz="0" w:space="0" w:color="auto"/>
        <w:bottom w:val="none" w:sz="0" w:space="0" w:color="auto"/>
        <w:right w:val="none" w:sz="0" w:space="0" w:color="auto"/>
      </w:divBdr>
    </w:div>
    <w:div w:id="1491629223">
      <w:bodyDiv w:val="1"/>
      <w:marLeft w:val="0"/>
      <w:marRight w:val="0"/>
      <w:marTop w:val="0"/>
      <w:marBottom w:val="0"/>
      <w:divBdr>
        <w:top w:val="none" w:sz="0" w:space="0" w:color="auto"/>
        <w:left w:val="none" w:sz="0" w:space="0" w:color="auto"/>
        <w:bottom w:val="none" w:sz="0" w:space="0" w:color="auto"/>
        <w:right w:val="none" w:sz="0" w:space="0" w:color="auto"/>
      </w:divBdr>
    </w:div>
    <w:div w:id="1518690933">
      <w:bodyDiv w:val="1"/>
      <w:marLeft w:val="0"/>
      <w:marRight w:val="0"/>
      <w:marTop w:val="0"/>
      <w:marBottom w:val="0"/>
      <w:divBdr>
        <w:top w:val="none" w:sz="0" w:space="0" w:color="auto"/>
        <w:left w:val="none" w:sz="0" w:space="0" w:color="auto"/>
        <w:bottom w:val="none" w:sz="0" w:space="0" w:color="auto"/>
        <w:right w:val="none" w:sz="0" w:space="0" w:color="auto"/>
      </w:divBdr>
    </w:div>
    <w:div w:id="1649363788">
      <w:bodyDiv w:val="1"/>
      <w:marLeft w:val="0"/>
      <w:marRight w:val="0"/>
      <w:marTop w:val="0"/>
      <w:marBottom w:val="0"/>
      <w:divBdr>
        <w:top w:val="none" w:sz="0" w:space="0" w:color="auto"/>
        <w:left w:val="none" w:sz="0" w:space="0" w:color="auto"/>
        <w:bottom w:val="none" w:sz="0" w:space="0" w:color="auto"/>
        <w:right w:val="none" w:sz="0" w:space="0" w:color="auto"/>
      </w:divBdr>
    </w:div>
    <w:div w:id="1818838036">
      <w:bodyDiv w:val="1"/>
      <w:marLeft w:val="0"/>
      <w:marRight w:val="0"/>
      <w:marTop w:val="0"/>
      <w:marBottom w:val="0"/>
      <w:divBdr>
        <w:top w:val="none" w:sz="0" w:space="0" w:color="auto"/>
        <w:left w:val="none" w:sz="0" w:space="0" w:color="auto"/>
        <w:bottom w:val="none" w:sz="0" w:space="0" w:color="auto"/>
        <w:right w:val="none" w:sz="0" w:space="0" w:color="auto"/>
      </w:divBdr>
    </w:div>
    <w:div w:id="1933853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chart" Target="charts/chart16.xml"/><Relationship Id="rId21" Type="http://schemas.openxmlformats.org/officeDocument/2006/relationships/chart" Target="charts/chart12.xml"/><Relationship Id="rId42" Type="http://schemas.openxmlformats.org/officeDocument/2006/relationships/chart" Target="charts/chart31.xml"/><Relationship Id="rId47" Type="http://schemas.openxmlformats.org/officeDocument/2006/relationships/chart" Target="charts/chart36.xml"/><Relationship Id="rId63" Type="http://schemas.openxmlformats.org/officeDocument/2006/relationships/chart" Target="charts/chart50.xml"/><Relationship Id="rId68" Type="http://schemas.openxmlformats.org/officeDocument/2006/relationships/chart" Target="charts/chart55.xml"/><Relationship Id="rId84" Type="http://schemas.openxmlformats.org/officeDocument/2006/relationships/chart" Target="charts/chart70.xml"/><Relationship Id="rId89" Type="http://schemas.openxmlformats.org/officeDocument/2006/relationships/chart" Target="charts/chart75.xml"/><Relationship Id="rId112" Type="http://schemas.openxmlformats.org/officeDocument/2006/relationships/chart" Target="charts/chart98.xml"/><Relationship Id="rId16" Type="http://schemas.openxmlformats.org/officeDocument/2006/relationships/chart" Target="charts/chart7.xml"/><Relationship Id="rId107" Type="http://schemas.openxmlformats.org/officeDocument/2006/relationships/chart" Target="charts/chart93.xml"/><Relationship Id="rId11" Type="http://schemas.openxmlformats.org/officeDocument/2006/relationships/chart" Target="charts/chart3.xml"/><Relationship Id="rId32" Type="http://schemas.openxmlformats.org/officeDocument/2006/relationships/chart" Target="charts/chart21.xml"/><Relationship Id="rId37" Type="http://schemas.openxmlformats.org/officeDocument/2006/relationships/chart" Target="charts/chart26.xml"/><Relationship Id="rId53" Type="http://schemas.openxmlformats.org/officeDocument/2006/relationships/chart" Target="charts/chart42.xml"/><Relationship Id="rId58" Type="http://schemas.openxmlformats.org/officeDocument/2006/relationships/chart" Target="charts/chart46.xml"/><Relationship Id="rId74" Type="http://schemas.openxmlformats.org/officeDocument/2006/relationships/chart" Target="charts/chart61.xml"/><Relationship Id="rId79" Type="http://schemas.openxmlformats.org/officeDocument/2006/relationships/chart" Target="charts/chart65.xml"/><Relationship Id="rId102" Type="http://schemas.openxmlformats.org/officeDocument/2006/relationships/chart" Target="charts/chart88.xml"/><Relationship Id="rId5" Type="http://schemas.openxmlformats.org/officeDocument/2006/relationships/webSettings" Target="webSettings.xml"/><Relationship Id="rId90" Type="http://schemas.openxmlformats.org/officeDocument/2006/relationships/chart" Target="charts/chart76.xml"/><Relationship Id="rId95" Type="http://schemas.openxmlformats.org/officeDocument/2006/relationships/chart" Target="charts/chart81.xml"/><Relationship Id="rId22" Type="http://schemas.openxmlformats.org/officeDocument/2006/relationships/chart" Target="charts/chart13.xml"/><Relationship Id="rId27" Type="http://schemas.openxmlformats.org/officeDocument/2006/relationships/image" Target="media/image3.png"/><Relationship Id="rId43" Type="http://schemas.openxmlformats.org/officeDocument/2006/relationships/chart" Target="charts/chart32.xml"/><Relationship Id="rId48" Type="http://schemas.openxmlformats.org/officeDocument/2006/relationships/chart" Target="charts/chart37.xml"/><Relationship Id="rId64" Type="http://schemas.openxmlformats.org/officeDocument/2006/relationships/chart" Target="charts/chart51.xml"/><Relationship Id="rId69" Type="http://schemas.openxmlformats.org/officeDocument/2006/relationships/chart" Target="charts/chart56.xml"/><Relationship Id="rId113" Type="http://schemas.openxmlformats.org/officeDocument/2006/relationships/fontTable" Target="fontTable.xml"/><Relationship Id="rId80" Type="http://schemas.openxmlformats.org/officeDocument/2006/relationships/chart" Target="charts/chart66.xml"/><Relationship Id="rId85" Type="http://schemas.openxmlformats.org/officeDocument/2006/relationships/chart" Target="charts/chart71.xml"/><Relationship Id="rId12" Type="http://schemas.openxmlformats.org/officeDocument/2006/relationships/chart" Target="charts/chart4.xml"/><Relationship Id="rId17" Type="http://schemas.openxmlformats.org/officeDocument/2006/relationships/chart" Target="charts/chart8.xml"/><Relationship Id="rId33" Type="http://schemas.openxmlformats.org/officeDocument/2006/relationships/chart" Target="charts/chart22.xml"/><Relationship Id="rId38" Type="http://schemas.openxmlformats.org/officeDocument/2006/relationships/chart" Target="charts/chart27.xml"/><Relationship Id="rId59" Type="http://schemas.openxmlformats.org/officeDocument/2006/relationships/chart" Target="charts/chart47.xml"/><Relationship Id="rId103" Type="http://schemas.openxmlformats.org/officeDocument/2006/relationships/chart" Target="charts/chart89.xml"/><Relationship Id="rId108" Type="http://schemas.openxmlformats.org/officeDocument/2006/relationships/chart" Target="charts/chart94.xml"/><Relationship Id="rId54" Type="http://schemas.openxmlformats.org/officeDocument/2006/relationships/chart" Target="charts/chart43.xml"/><Relationship Id="rId70" Type="http://schemas.openxmlformats.org/officeDocument/2006/relationships/chart" Target="charts/chart57.xml"/><Relationship Id="rId75" Type="http://schemas.openxmlformats.org/officeDocument/2006/relationships/chart" Target="charts/chart62.xml"/><Relationship Id="rId91" Type="http://schemas.openxmlformats.org/officeDocument/2006/relationships/chart" Target="charts/chart77.xml"/><Relationship Id="rId96" Type="http://schemas.openxmlformats.org/officeDocument/2006/relationships/chart" Target="charts/chart8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7.xml"/><Relationship Id="rId36" Type="http://schemas.openxmlformats.org/officeDocument/2006/relationships/chart" Target="charts/chart25.xml"/><Relationship Id="rId49" Type="http://schemas.openxmlformats.org/officeDocument/2006/relationships/chart" Target="charts/chart38.xml"/><Relationship Id="rId57" Type="http://schemas.openxmlformats.org/officeDocument/2006/relationships/image" Target="media/image4.png"/><Relationship Id="rId106" Type="http://schemas.openxmlformats.org/officeDocument/2006/relationships/chart" Target="charts/chart92.xml"/><Relationship Id="rId114" Type="http://schemas.openxmlformats.org/officeDocument/2006/relationships/theme" Target="theme/theme1.xml"/><Relationship Id="rId10" Type="http://schemas.openxmlformats.org/officeDocument/2006/relationships/chart" Target="charts/chart2.xml"/><Relationship Id="rId31" Type="http://schemas.openxmlformats.org/officeDocument/2006/relationships/chart" Target="charts/chart20.xml"/><Relationship Id="rId44" Type="http://schemas.openxmlformats.org/officeDocument/2006/relationships/chart" Target="charts/chart33.xml"/><Relationship Id="rId52" Type="http://schemas.openxmlformats.org/officeDocument/2006/relationships/chart" Target="charts/chart41.xml"/><Relationship Id="rId60" Type="http://schemas.openxmlformats.org/officeDocument/2006/relationships/chart" Target="charts/chart48.xml"/><Relationship Id="rId65" Type="http://schemas.openxmlformats.org/officeDocument/2006/relationships/chart" Target="charts/chart52.xml"/><Relationship Id="rId73" Type="http://schemas.openxmlformats.org/officeDocument/2006/relationships/chart" Target="charts/chart60.xml"/><Relationship Id="rId78" Type="http://schemas.openxmlformats.org/officeDocument/2006/relationships/image" Target="media/image6.png"/><Relationship Id="rId81" Type="http://schemas.openxmlformats.org/officeDocument/2006/relationships/chart" Target="charts/chart67.xml"/><Relationship Id="rId86" Type="http://schemas.openxmlformats.org/officeDocument/2006/relationships/chart" Target="charts/chart72.xml"/><Relationship Id="rId94" Type="http://schemas.openxmlformats.org/officeDocument/2006/relationships/chart" Target="charts/chart80.xml"/><Relationship Id="rId99" Type="http://schemas.openxmlformats.org/officeDocument/2006/relationships/chart" Target="charts/chart85.xml"/><Relationship Id="rId101" Type="http://schemas.openxmlformats.org/officeDocument/2006/relationships/chart" Target="charts/chart87.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9.xml"/><Relationship Id="rId39" Type="http://schemas.openxmlformats.org/officeDocument/2006/relationships/chart" Target="charts/chart28.xml"/><Relationship Id="rId109" Type="http://schemas.openxmlformats.org/officeDocument/2006/relationships/chart" Target="charts/chart95.xml"/><Relationship Id="rId34" Type="http://schemas.openxmlformats.org/officeDocument/2006/relationships/chart" Target="charts/chart23.xml"/><Relationship Id="rId50" Type="http://schemas.openxmlformats.org/officeDocument/2006/relationships/chart" Target="charts/chart39.xml"/><Relationship Id="rId55" Type="http://schemas.openxmlformats.org/officeDocument/2006/relationships/chart" Target="charts/chart44.xml"/><Relationship Id="rId76" Type="http://schemas.openxmlformats.org/officeDocument/2006/relationships/chart" Target="charts/chart63.xml"/><Relationship Id="rId97" Type="http://schemas.openxmlformats.org/officeDocument/2006/relationships/chart" Target="charts/chart83.xml"/><Relationship Id="rId104" Type="http://schemas.openxmlformats.org/officeDocument/2006/relationships/chart" Target="charts/chart90.xml"/><Relationship Id="rId7" Type="http://schemas.openxmlformats.org/officeDocument/2006/relationships/endnotes" Target="endnotes.xml"/><Relationship Id="rId71" Type="http://schemas.openxmlformats.org/officeDocument/2006/relationships/chart" Target="charts/chart58.xml"/><Relationship Id="rId92" Type="http://schemas.openxmlformats.org/officeDocument/2006/relationships/chart" Target="charts/chart78.xml"/><Relationship Id="rId2" Type="http://schemas.openxmlformats.org/officeDocument/2006/relationships/numbering" Target="numbering.xml"/><Relationship Id="rId29" Type="http://schemas.openxmlformats.org/officeDocument/2006/relationships/chart" Target="charts/chart18.xml"/><Relationship Id="rId24" Type="http://schemas.openxmlformats.org/officeDocument/2006/relationships/image" Target="media/image2.png"/><Relationship Id="rId40" Type="http://schemas.openxmlformats.org/officeDocument/2006/relationships/chart" Target="charts/chart29.xml"/><Relationship Id="rId45" Type="http://schemas.openxmlformats.org/officeDocument/2006/relationships/chart" Target="charts/chart34.xml"/><Relationship Id="rId66" Type="http://schemas.openxmlformats.org/officeDocument/2006/relationships/chart" Target="charts/chart53.xml"/><Relationship Id="rId87" Type="http://schemas.openxmlformats.org/officeDocument/2006/relationships/chart" Target="charts/chart73.xml"/><Relationship Id="rId110" Type="http://schemas.openxmlformats.org/officeDocument/2006/relationships/chart" Target="charts/chart96.xml"/><Relationship Id="rId61" Type="http://schemas.openxmlformats.org/officeDocument/2006/relationships/image" Target="media/image5.png"/><Relationship Id="rId82" Type="http://schemas.openxmlformats.org/officeDocument/2006/relationships/chart" Target="charts/chart68.xml"/><Relationship Id="rId19" Type="http://schemas.openxmlformats.org/officeDocument/2006/relationships/chart" Target="charts/chart10.xml"/><Relationship Id="rId14" Type="http://schemas.openxmlformats.org/officeDocument/2006/relationships/image" Target="media/image1.png"/><Relationship Id="rId30" Type="http://schemas.openxmlformats.org/officeDocument/2006/relationships/chart" Target="charts/chart19.xml"/><Relationship Id="rId35" Type="http://schemas.openxmlformats.org/officeDocument/2006/relationships/chart" Target="charts/chart24.xml"/><Relationship Id="rId56" Type="http://schemas.openxmlformats.org/officeDocument/2006/relationships/chart" Target="charts/chart45.xml"/><Relationship Id="rId77" Type="http://schemas.openxmlformats.org/officeDocument/2006/relationships/chart" Target="charts/chart64.xml"/><Relationship Id="rId100" Type="http://schemas.openxmlformats.org/officeDocument/2006/relationships/chart" Target="charts/chart86.xml"/><Relationship Id="rId105" Type="http://schemas.openxmlformats.org/officeDocument/2006/relationships/chart" Target="charts/chart91.xml"/><Relationship Id="rId8" Type="http://schemas.openxmlformats.org/officeDocument/2006/relationships/footer" Target="footer1.xml"/><Relationship Id="rId51" Type="http://schemas.openxmlformats.org/officeDocument/2006/relationships/chart" Target="charts/chart40.xml"/><Relationship Id="rId72" Type="http://schemas.openxmlformats.org/officeDocument/2006/relationships/chart" Target="charts/chart59.xml"/><Relationship Id="rId93" Type="http://schemas.openxmlformats.org/officeDocument/2006/relationships/chart" Target="charts/chart79.xml"/><Relationship Id="rId98" Type="http://schemas.openxmlformats.org/officeDocument/2006/relationships/chart" Target="charts/chart84.xml"/><Relationship Id="rId3" Type="http://schemas.openxmlformats.org/officeDocument/2006/relationships/styles" Target="styles.xml"/><Relationship Id="rId25" Type="http://schemas.openxmlformats.org/officeDocument/2006/relationships/chart" Target="charts/chart15.xml"/><Relationship Id="rId46" Type="http://schemas.openxmlformats.org/officeDocument/2006/relationships/chart" Target="charts/chart35.xml"/><Relationship Id="rId67" Type="http://schemas.openxmlformats.org/officeDocument/2006/relationships/chart" Target="charts/chart54.xml"/><Relationship Id="rId20" Type="http://schemas.openxmlformats.org/officeDocument/2006/relationships/chart" Target="charts/chart11.xml"/><Relationship Id="rId41" Type="http://schemas.openxmlformats.org/officeDocument/2006/relationships/chart" Target="charts/chart30.xml"/><Relationship Id="rId62" Type="http://schemas.openxmlformats.org/officeDocument/2006/relationships/chart" Target="charts/chart49.xml"/><Relationship Id="rId83" Type="http://schemas.openxmlformats.org/officeDocument/2006/relationships/chart" Target="charts/chart69.xml"/><Relationship Id="rId88" Type="http://schemas.openxmlformats.org/officeDocument/2006/relationships/chart" Target="charts/chart74.xml"/><Relationship Id="rId111" Type="http://schemas.openxmlformats.org/officeDocument/2006/relationships/chart" Target="charts/chart97.xml"/></Relationships>
</file>

<file path=word/_rels/footnotes.xml.rels><?xml version="1.0" encoding="UTF-8" standalone="yes"?>
<Relationships xmlns="http://schemas.openxmlformats.org/package/2006/relationships"><Relationship Id="rId2" Type="http://schemas.openxmlformats.org/officeDocument/2006/relationships/hyperlink" Target="https://www.who.int/healthinfo/systems/SARA_Reference_Manual_Full.pdf" TargetMode="External"/><Relationship Id="rId1" Type="http://schemas.openxmlformats.org/officeDocument/2006/relationships/hyperlink" Target="http://www.who.int/healthinfo/systems/sara_introduction/e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WHO\Documents\SARA\Facility%20distribut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en\AppData\Local\Temp\Temp1_Fwd__SARA___Results.zip\Uganda_results_201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en\AppData\Local\Temp\Temp1_Fwd__SARA___Results.zip\Uganda_results_201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amumpe\Desktop\Personal-Workbook\jamumpe\Desktop\julius\SARA\Report%20writing\Uganda_results_201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jamumpe\Desktop\Personal-Workbook\jamumpe\Desktop\julius\SARA\Report%20writing\Uganda_results_201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gnes\AppData\Local\Temp\Rar$DIa0.322\Uganda_results_2019.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Users\sparkhealth2\Desktop\SARA2\Uganda_results_2019.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Users\sparkhealth2\Desktop\SARA2\Uganda_results_2019.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Users\sparkhealth2\Desktop\SARA2\Uganda_results_2019.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Users\sparkhealth2\Desktop\SARA2\Uganda_results_2019.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user\Downloads\Uganda_results_2019%20(7).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jamumpe\AppData\Local\Temp\Uganda_results_2019.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jamumpe\AppData\Local\Temp\Uganda_results_2019.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1.xml"/><Relationship Id="rId1" Type="http://schemas.microsoft.com/office/2011/relationships/chartStyle" Target="style41.xml"/><Relationship Id="rId4" Type="http://schemas.openxmlformats.org/officeDocument/2006/relationships/oleObject" Target="file:///C:\Users\ben\AppData\Local\Temp\Temp1_Fwd__SARA___Results.zip\Uganda_results_2019.xlsx" TargetMode="External"/></Relationships>
</file>

<file path=word/charts/_rels/chart42.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ben\AppData\Local\Temp\Temp1_Fwd__SARA___Results.zip\Uganda_results_2019.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2.xml"/><Relationship Id="rId1" Type="http://schemas.microsoft.com/office/2011/relationships/chartStyle" Target="style52.xml"/></Relationships>
</file>

<file path=word/charts/_rels/chart53.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3.xml"/><Relationship Id="rId1" Type="http://schemas.microsoft.com/office/2011/relationships/chartStyle" Target="style53.xml"/></Relationships>
</file>

<file path=word/charts/_rels/chart54.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54.xml"/><Relationship Id="rId1" Type="http://schemas.microsoft.com/office/2011/relationships/chartStyle" Target="style54.xml"/></Relationships>
</file>

<file path=word/charts/_rels/chart55.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5.xml"/><Relationship Id="rId1" Type="http://schemas.microsoft.com/office/2011/relationships/chartStyle" Target="style55.xml"/></Relationships>
</file>

<file path=word/charts/_rels/chart56.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6.xml"/><Relationship Id="rId1" Type="http://schemas.microsoft.com/office/2011/relationships/chartStyle" Target="style56.xml"/></Relationships>
</file>

<file path=word/charts/_rels/chart5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7.xml"/><Relationship Id="rId1" Type="http://schemas.microsoft.com/office/2011/relationships/chartStyle" Target="style57.xml"/></Relationships>
</file>

<file path=word/charts/_rels/chart58.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8.xml"/><Relationship Id="rId1" Type="http://schemas.microsoft.com/office/2011/relationships/chartStyle" Target="style58.xml"/></Relationships>
</file>

<file path=word/charts/_rels/chart59.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59.xml"/><Relationship Id="rId1" Type="http://schemas.microsoft.com/office/2011/relationships/chartStyle" Target="style59.xml"/></Relationships>
</file>

<file path=word/charts/_rels/chart60.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0.xml"/><Relationship Id="rId1" Type="http://schemas.microsoft.com/office/2011/relationships/chartStyle" Target="style60.xml"/></Relationships>
</file>

<file path=word/charts/_rels/chart61.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1.xml"/><Relationship Id="rId1" Type="http://schemas.microsoft.com/office/2011/relationships/chartStyle" Target="style61.xml"/></Relationships>
</file>

<file path=word/charts/_rels/chart62.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2.xml"/><Relationship Id="rId1" Type="http://schemas.microsoft.com/office/2011/relationships/chartStyle" Target="style62.xml"/></Relationships>
</file>

<file path=word/charts/_rels/chart63.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3.xml"/><Relationship Id="rId1" Type="http://schemas.microsoft.com/office/2011/relationships/chartStyle" Target="style63.xml"/></Relationships>
</file>

<file path=word/charts/_rels/chart64.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4.xml"/><Relationship Id="rId1" Type="http://schemas.microsoft.com/office/2011/relationships/chartStyle" Target="style64.xml"/></Relationships>
</file>

<file path=word/charts/_rels/chart65.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5.xml"/><Relationship Id="rId1" Type="http://schemas.microsoft.com/office/2011/relationships/chartStyle" Target="style65.xml"/></Relationships>
</file>

<file path=word/charts/_rels/chart66.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6.xml"/><Relationship Id="rId1" Type="http://schemas.microsoft.com/office/2011/relationships/chartStyle" Target="style66.xml"/></Relationships>
</file>

<file path=word/charts/_rels/chart6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7.xml"/><Relationship Id="rId1" Type="http://schemas.microsoft.com/office/2011/relationships/chartStyle" Target="style67.xml"/></Relationships>
</file>

<file path=word/charts/_rels/chart68.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8.xml"/><Relationship Id="rId1" Type="http://schemas.microsoft.com/office/2011/relationships/chartStyle" Target="style68.xml"/></Relationships>
</file>

<file path=word/charts/_rels/chart69.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69.xml"/><Relationship Id="rId1" Type="http://schemas.microsoft.com/office/2011/relationships/chartStyle" Target="style69.xml"/></Relationships>
</file>

<file path=word/charts/_rels/chart70.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0.xml"/><Relationship Id="rId1" Type="http://schemas.microsoft.com/office/2011/relationships/chartStyle" Target="style70.xml"/></Relationships>
</file>

<file path=word/charts/_rels/chart71.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1.xml"/><Relationship Id="rId1" Type="http://schemas.microsoft.com/office/2011/relationships/chartStyle" Target="style71.xml"/></Relationships>
</file>

<file path=word/charts/_rels/chart72.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2.xml"/><Relationship Id="rId1" Type="http://schemas.microsoft.com/office/2011/relationships/chartStyle" Target="style72.xml"/></Relationships>
</file>

<file path=word/charts/_rels/chart73.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3.xml"/><Relationship Id="rId1" Type="http://schemas.microsoft.com/office/2011/relationships/chartStyle" Target="style73.xml"/></Relationships>
</file>

<file path=word/charts/_rels/chart74.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4.xml"/><Relationship Id="rId1" Type="http://schemas.microsoft.com/office/2011/relationships/chartStyle" Target="style74.xml"/></Relationships>
</file>

<file path=word/charts/_rels/chart75.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5.xml"/><Relationship Id="rId1" Type="http://schemas.microsoft.com/office/2011/relationships/chartStyle" Target="style75.xml"/></Relationships>
</file>

<file path=word/charts/_rels/chart76.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6.xml"/><Relationship Id="rId1" Type="http://schemas.microsoft.com/office/2011/relationships/chartStyle" Target="style76.xml"/></Relationships>
</file>

<file path=word/charts/_rels/chart7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7.xml"/><Relationship Id="rId1" Type="http://schemas.microsoft.com/office/2011/relationships/chartStyle" Target="style77.xml"/></Relationships>
</file>

<file path=word/charts/_rels/chart78.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78.xml"/><Relationship Id="rId1" Type="http://schemas.microsoft.com/office/2011/relationships/chartStyle" Target="style78.xml"/></Relationships>
</file>

<file path=word/charts/_rels/chart79.xml.rels><?xml version="1.0" encoding="UTF-8" standalone="yes"?>
<Relationships xmlns="http://schemas.openxmlformats.org/package/2006/relationships"><Relationship Id="rId3" Type="http://schemas.openxmlformats.org/officeDocument/2006/relationships/oleObject" Target="file:///C:\Users\Agnes\Downloads\Uganda_results_2019%20(1).xlsx" TargetMode="External"/><Relationship Id="rId2" Type="http://schemas.microsoft.com/office/2011/relationships/chartColorStyle" Target="colors79.xml"/><Relationship Id="rId1" Type="http://schemas.microsoft.com/office/2011/relationships/chartStyle" Target="style79.xml"/></Relationships>
</file>

<file path=word/charts/_rels/chart80.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0.xml"/><Relationship Id="rId1" Type="http://schemas.microsoft.com/office/2011/relationships/chartStyle" Target="style80.xml"/></Relationships>
</file>

<file path=word/charts/_rels/chart81.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1.xml"/><Relationship Id="rId1" Type="http://schemas.microsoft.com/office/2011/relationships/chartStyle" Target="style81.xml"/></Relationships>
</file>

<file path=word/charts/_rels/chart82.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2.xml"/><Relationship Id="rId1" Type="http://schemas.microsoft.com/office/2011/relationships/chartStyle" Target="style82.xml"/></Relationships>
</file>

<file path=word/charts/_rels/chart83.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3.xml"/><Relationship Id="rId1" Type="http://schemas.microsoft.com/office/2011/relationships/chartStyle" Target="style83.xml"/></Relationships>
</file>

<file path=word/charts/_rels/chart84.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4.xml"/><Relationship Id="rId1" Type="http://schemas.microsoft.com/office/2011/relationships/chartStyle" Target="style84.xml"/></Relationships>
</file>

<file path=word/charts/_rels/chart85.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5.xml"/><Relationship Id="rId1" Type="http://schemas.microsoft.com/office/2011/relationships/chartStyle" Target="style85.xml"/></Relationships>
</file>

<file path=word/charts/_rels/chart86.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6.xml"/><Relationship Id="rId1" Type="http://schemas.microsoft.com/office/2011/relationships/chartStyle" Target="style86.xml"/></Relationships>
</file>

<file path=word/charts/_rels/chart87.xml.rels><?xml version="1.0" encoding="UTF-8" standalone="yes"?>
<Relationships xmlns="http://schemas.openxmlformats.org/package/2006/relationships"><Relationship Id="rId3" Type="http://schemas.openxmlformats.org/officeDocument/2006/relationships/oleObject" Target="file:///C:\Users\WHO\Documents\SARA\Uganda_results_2019.xlsx" TargetMode="External"/><Relationship Id="rId2" Type="http://schemas.microsoft.com/office/2011/relationships/chartColorStyle" Target="colors87.xml"/><Relationship Id="rId1" Type="http://schemas.microsoft.com/office/2011/relationships/chartStyle" Target="style87.xml"/></Relationships>
</file>

<file path=word/charts/_rels/chart88.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88.xml"/><Relationship Id="rId1" Type="http://schemas.microsoft.com/office/2011/relationships/chartStyle" Target="style88.xml"/></Relationships>
</file>

<file path=word/charts/_rels/chart89.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89.xml"/><Relationship Id="rId1" Type="http://schemas.microsoft.com/office/2011/relationships/chartStyle" Target="style89.xml"/></Relationships>
</file>

<file path=word/charts/_rels/chart90.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0.xml"/><Relationship Id="rId1" Type="http://schemas.microsoft.com/office/2011/relationships/chartStyle" Target="style90.xml"/></Relationships>
</file>

<file path=word/charts/_rels/chart91.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1.xml"/><Relationship Id="rId1" Type="http://schemas.microsoft.com/office/2011/relationships/chartStyle" Target="style91.xml"/></Relationships>
</file>

<file path=word/charts/_rels/chart92.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2.xml"/><Relationship Id="rId1" Type="http://schemas.microsoft.com/office/2011/relationships/chartStyle" Target="style92.xml"/></Relationships>
</file>

<file path=word/charts/_rels/chart93.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3.xml"/><Relationship Id="rId1" Type="http://schemas.microsoft.com/office/2011/relationships/chartStyle" Target="style93.xml"/></Relationships>
</file>

<file path=word/charts/_rels/chart94.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4.xml"/><Relationship Id="rId1" Type="http://schemas.microsoft.com/office/2011/relationships/chartStyle" Target="style94.xml"/></Relationships>
</file>

<file path=word/charts/_rels/chart95.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5.xml"/><Relationship Id="rId1" Type="http://schemas.microsoft.com/office/2011/relationships/chartStyle" Target="style95.xml"/></Relationships>
</file>

<file path=word/charts/_rels/chart96.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6.xml"/><Relationship Id="rId1" Type="http://schemas.microsoft.com/office/2011/relationships/chartStyle" Target="style96.xml"/></Relationships>
</file>

<file path=word/charts/_rels/chart97.xml.rels><?xml version="1.0" encoding="UTF-8" standalone="yes"?>
<Relationships xmlns="http://schemas.openxmlformats.org/package/2006/relationships"><Relationship Id="rId3" Type="http://schemas.openxmlformats.org/officeDocument/2006/relationships/oleObject" Target="file:///D:\SARA%20JSI\Evaluations%20results\DQR%20analysis11062019.xlsx" TargetMode="External"/><Relationship Id="rId2" Type="http://schemas.microsoft.com/office/2011/relationships/chartColorStyle" Target="colors97.xml"/><Relationship Id="rId1" Type="http://schemas.microsoft.com/office/2011/relationships/chartStyle" Target="style97.xml"/></Relationships>
</file>

<file path=word/charts/_rels/chart98.xml.rels><?xml version="1.0" encoding="UTF-8" standalone="yes"?>
<Relationships xmlns="http://schemas.openxmlformats.org/package/2006/relationships"><Relationship Id="rId3" Type="http://schemas.openxmlformats.org/officeDocument/2006/relationships/oleObject" Target="file:///D:\SARA%20JSI\Evaluations%20results\DQR%20analysis10062019.xlsx" TargetMode="External"/><Relationship Id="rId2" Type="http://schemas.microsoft.com/office/2011/relationships/chartColorStyle" Target="colors98.xml"/><Relationship Id="rId1" Type="http://schemas.microsoft.com/office/2011/relationships/chartStyle" Target="style9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'[Facility distribution.xlsx]Sheet1'!$B$21</c:f>
              <c:strCache>
                <c:ptCount val="1"/>
                <c:pt idx="0">
                  <c:v>Number</c:v>
                </c:pt>
              </c:strCache>
            </c:strRef>
          </c:tx>
          <c:spPr>
            <a:solidFill>
              <a:srgbClr val="FFC000"/>
            </a:solidFill>
            <a:ln w="19050">
              <a:solidFill>
                <a:srgbClr val="FFC000"/>
              </a:solidFill>
            </a:ln>
            <a:effectLst/>
          </c:spPr>
          <c:invertIfNegative val="0"/>
          <c:cat>
            <c:strRef>
              <c:f>'[Facility distribution.xlsx]Sheet1'!$A$22:$A$44</c:f>
              <c:strCache>
                <c:ptCount val="23"/>
                <c:pt idx="0">
                  <c:v>Regional Hospital</c:v>
                </c:pt>
                <c:pt idx="1">
                  <c:v>General Hospital</c:v>
                </c:pt>
                <c:pt idx="2">
                  <c:v>HC IV</c:v>
                </c:pt>
                <c:pt idx="3">
                  <c:v>HC III</c:v>
                </c:pt>
                <c:pt idx="4">
                  <c:v>HC II</c:v>
                </c:pt>
                <c:pt idx="6">
                  <c:v>Government</c:v>
                </c:pt>
                <c:pt idx="7">
                  <c:v>Private-Not-For-Profit</c:v>
                </c:pt>
                <c:pt idx="8">
                  <c:v>Private for profit</c:v>
                </c:pt>
                <c:pt idx="10">
                  <c:v>Urban</c:v>
                </c:pt>
                <c:pt idx="11">
                  <c:v>Rural</c:v>
                </c:pt>
                <c:pt idx="13">
                  <c:v>Central1</c:v>
                </c:pt>
                <c:pt idx="14">
                  <c:v>Central2</c:v>
                </c:pt>
                <c:pt idx="15">
                  <c:v>Kampala</c:v>
                </c:pt>
                <c:pt idx="16">
                  <c:v>Karamoja</c:v>
                </c:pt>
                <c:pt idx="17">
                  <c:v>Mid Eastern</c:v>
                </c:pt>
                <c:pt idx="18">
                  <c:v>Mid-Northern</c:v>
                </c:pt>
                <c:pt idx="19">
                  <c:v>Mid-West</c:v>
                </c:pt>
                <c:pt idx="20">
                  <c:v>North East</c:v>
                </c:pt>
                <c:pt idx="21">
                  <c:v>South West</c:v>
                </c:pt>
                <c:pt idx="22">
                  <c:v>West Nile</c:v>
                </c:pt>
              </c:strCache>
            </c:strRef>
          </c:cat>
          <c:val>
            <c:numRef>
              <c:f>'[Facility distribution.xlsx]Sheet1'!$B$22:$B$44</c:f>
              <c:numCache>
                <c:formatCode>General</c:formatCode>
                <c:ptCount val="23"/>
                <c:pt idx="0">
                  <c:v>11</c:v>
                </c:pt>
                <c:pt idx="1">
                  <c:v>25</c:v>
                </c:pt>
                <c:pt idx="2">
                  <c:v>26</c:v>
                </c:pt>
                <c:pt idx="3">
                  <c:v>46</c:v>
                </c:pt>
                <c:pt idx="4">
                  <c:v>58</c:v>
                </c:pt>
                <c:pt idx="6">
                  <c:v>93</c:v>
                </c:pt>
                <c:pt idx="7">
                  <c:v>35</c:v>
                </c:pt>
                <c:pt idx="8">
                  <c:v>38</c:v>
                </c:pt>
                <c:pt idx="10">
                  <c:v>78</c:v>
                </c:pt>
                <c:pt idx="11">
                  <c:v>88</c:v>
                </c:pt>
                <c:pt idx="13">
                  <c:v>25</c:v>
                </c:pt>
                <c:pt idx="14">
                  <c:v>11</c:v>
                </c:pt>
                <c:pt idx="15">
                  <c:v>33</c:v>
                </c:pt>
                <c:pt idx="16">
                  <c:v>6</c:v>
                </c:pt>
                <c:pt idx="17">
                  <c:v>20</c:v>
                </c:pt>
                <c:pt idx="18">
                  <c:v>17</c:v>
                </c:pt>
                <c:pt idx="19">
                  <c:v>9</c:v>
                </c:pt>
                <c:pt idx="20">
                  <c:v>8</c:v>
                </c:pt>
                <c:pt idx="21">
                  <c:v>24</c:v>
                </c:pt>
                <c:pt idx="22">
                  <c:v>13</c:v>
                </c:pt>
              </c:numCache>
            </c:numRef>
          </c:val>
          <c:extLst>
            <c:ext xmlns:c16="http://schemas.microsoft.com/office/drawing/2014/chart" uri="{C3380CC4-5D6E-409C-BE32-E72D297353CC}">
              <c16:uniqueId val="{00000000-610A-4894-A50D-1C0DB34534CB}"/>
            </c:ext>
          </c:extLst>
        </c:ser>
        <c:dLbls>
          <c:showLegendKey val="0"/>
          <c:showVal val="0"/>
          <c:showCatName val="0"/>
          <c:showSerName val="0"/>
          <c:showPercent val="0"/>
          <c:showBubbleSize val="0"/>
        </c:dLbls>
        <c:gapWidth val="22"/>
        <c:overlap val="88"/>
        <c:axId val="307015000"/>
        <c:axId val="369832792"/>
      </c:barChart>
      <c:scatterChart>
        <c:scatterStyle val="lineMarker"/>
        <c:varyColors val="0"/>
        <c:ser>
          <c:idx val="1"/>
          <c:order val="1"/>
          <c:tx>
            <c:strRef>
              <c:f>'[Facility distribution.xlsx]Sheet1'!$C$21</c:f>
              <c:strCache>
                <c:ptCount val="1"/>
                <c:pt idx="0">
                  <c:v>Percentage</c:v>
                </c:pt>
              </c:strCache>
            </c:strRef>
          </c:tx>
          <c:spPr>
            <a:ln w="19050" cap="rnd">
              <a:noFill/>
              <a:round/>
            </a:ln>
            <a:effectLst/>
          </c:spPr>
          <c:marker>
            <c:symbol val="circle"/>
            <c:size val="6"/>
            <c:spPr>
              <a:solidFill>
                <a:srgbClr val="002060"/>
              </a:solidFill>
              <a:ln w="9525">
                <a:solidFill>
                  <a:srgbClr val="002060"/>
                </a:solidFill>
              </a:ln>
              <a:effectLst/>
            </c:spPr>
          </c:marker>
          <c:xVal>
            <c:strRef>
              <c:f>'[Facility distribution.xlsx]Sheet1'!$A$22:$A$44</c:f>
              <c:strCache>
                <c:ptCount val="23"/>
                <c:pt idx="0">
                  <c:v>Regional Hospital</c:v>
                </c:pt>
                <c:pt idx="1">
                  <c:v>General Hospital</c:v>
                </c:pt>
                <c:pt idx="2">
                  <c:v>HC IV</c:v>
                </c:pt>
                <c:pt idx="3">
                  <c:v>HC III</c:v>
                </c:pt>
                <c:pt idx="4">
                  <c:v>HC II</c:v>
                </c:pt>
                <c:pt idx="6">
                  <c:v>Government</c:v>
                </c:pt>
                <c:pt idx="7">
                  <c:v>Private-Not-For-Profit</c:v>
                </c:pt>
                <c:pt idx="8">
                  <c:v>Private for profit</c:v>
                </c:pt>
                <c:pt idx="10">
                  <c:v>Urban</c:v>
                </c:pt>
                <c:pt idx="11">
                  <c:v>Rural</c:v>
                </c:pt>
                <c:pt idx="13">
                  <c:v>Central1</c:v>
                </c:pt>
                <c:pt idx="14">
                  <c:v>Central2</c:v>
                </c:pt>
                <c:pt idx="15">
                  <c:v>Kampala</c:v>
                </c:pt>
                <c:pt idx="16">
                  <c:v>Karamoja</c:v>
                </c:pt>
                <c:pt idx="17">
                  <c:v>Mid Eastern</c:v>
                </c:pt>
                <c:pt idx="18">
                  <c:v>Mid-Northern</c:v>
                </c:pt>
                <c:pt idx="19">
                  <c:v>Mid-West</c:v>
                </c:pt>
                <c:pt idx="20">
                  <c:v>North East</c:v>
                </c:pt>
                <c:pt idx="21">
                  <c:v>South West</c:v>
                </c:pt>
                <c:pt idx="22">
                  <c:v>West Nile</c:v>
                </c:pt>
              </c:strCache>
            </c:strRef>
          </c:xVal>
          <c:yVal>
            <c:numRef>
              <c:f>'[Facility distribution.xlsx]Sheet1'!$C$22:$C$44</c:f>
              <c:numCache>
                <c:formatCode>General</c:formatCode>
                <c:ptCount val="23"/>
                <c:pt idx="0">
                  <c:v>6.6</c:v>
                </c:pt>
                <c:pt idx="1">
                  <c:v>15.1</c:v>
                </c:pt>
                <c:pt idx="2">
                  <c:v>15.7</c:v>
                </c:pt>
                <c:pt idx="3">
                  <c:v>27.7</c:v>
                </c:pt>
                <c:pt idx="4">
                  <c:v>34.9</c:v>
                </c:pt>
                <c:pt idx="6" formatCode="0.0">
                  <c:v>56</c:v>
                </c:pt>
                <c:pt idx="7" formatCode="0.0">
                  <c:v>21.1</c:v>
                </c:pt>
                <c:pt idx="8" formatCode="0.0">
                  <c:v>22.9</c:v>
                </c:pt>
                <c:pt idx="10" formatCode="0.0">
                  <c:v>47</c:v>
                </c:pt>
                <c:pt idx="11" formatCode="0.0">
                  <c:v>53</c:v>
                </c:pt>
                <c:pt idx="13" formatCode="0.0">
                  <c:v>15.57</c:v>
                </c:pt>
                <c:pt idx="14" formatCode="0.0">
                  <c:v>5.99</c:v>
                </c:pt>
                <c:pt idx="15" formatCode="0.0">
                  <c:v>20.36</c:v>
                </c:pt>
                <c:pt idx="16" formatCode="0.0">
                  <c:v>3.59</c:v>
                </c:pt>
                <c:pt idx="17" formatCode="0.0">
                  <c:v>11.98</c:v>
                </c:pt>
                <c:pt idx="18" formatCode="0.0">
                  <c:v>10.18</c:v>
                </c:pt>
                <c:pt idx="19" formatCode="0.0">
                  <c:v>5.39</c:v>
                </c:pt>
                <c:pt idx="20" formatCode="0.0">
                  <c:v>4.79</c:v>
                </c:pt>
                <c:pt idx="21" formatCode="0.0">
                  <c:v>14.37</c:v>
                </c:pt>
                <c:pt idx="22" formatCode="0.0">
                  <c:v>7.78</c:v>
                </c:pt>
              </c:numCache>
            </c:numRef>
          </c:yVal>
          <c:smooth val="0"/>
          <c:extLst>
            <c:ext xmlns:c16="http://schemas.microsoft.com/office/drawing/2014/chart" uri="{C3380CC4-5D6E-409C-BE32-E72D297353CC}">
              <c16:uniqueId val="{00000001-610A-4894-A50D-1C0DB34534CB}"/>
            </c:ext>
          </c:extLst>
        </c:ser>
        <c:dLbls>
          <c:showLegendKey val="0"/>
          <c:showVal val="0"/>
          <c:showCatName val="0"/>
          <c:showSerName val="0"/>
          <c:showPercent val="0"/>
          <c:showBubbleSize val="0"/>
        </c:dLbls>
        <c:axId val="307015000"/>
        <c:axId val="369832792"/>
      </c:scatterChart>
      <c:catAx>
        <c:axId val="307015000"/>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Georgia" panose="02040502050405020303" pitchFamily="18" charset="0"/>
                <a:ea typeface="+mn-ea"/>
                <a:cs typeface="+mn-cs"/>
              </a:defRPr>
            </a:pPr>
            <a:endParaRPr lang="en-US"/>
          </a:p>
        </c:txPr>
        <c:crossAx val="369832792"/>
        <c:crosses val="autoZero"/>
        <c:auto val="1"/>
        <c:lblAlgn val="ctr"/>
        <c:lblOffset val="100"/>
        <c:noMultiLvlLbl val="0"/>
      </c:catAx>
      <c:valAx>
        <c:axId val="369832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Georgia" panose="02040502050405020303" pitchFamily="18" charset="0"/>
                    <a:ea typeface="+mn-ea"/>
                    <a:cs typeface="+mn-cs"/>
                  </a:defRPr>
                </a:pPr>
                <a:r>
                  <a:rPr lang="en-US" sz="1200">
                    <a:solidFill>
                      <a:sysClr val="windowText" lastClr="000000"/>
                    </a:solidFill>
                    <a:latin typeface="Georgia" panose="02040502050405020303" pitchFamily="18" charset="0"/>
                  </a:rPr>
                  <a:t>n(%)</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307015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'[General service readiness.xlsx]General service readiness'!$B$70</c:f>
              <c:strCache>
                <c:ptCount val="1"/>
                <c:pt idx="0">
                  <c:v>Uganda </c:v>
                </c:pt>
              </c:strCache>
            </c:strRef>
          </c:tx>
          <c:spPr>
            <a:solidFill>
              <a:srgbClr val="FF9900"/>
            </a:solidFill>
            <a:ln>
              <a:solidFill>
                <a:srgbClr val="FF9900"/>
              </a:solidFill>
            </a:ln>
            <a:effectLst/>
          </c:spPr>
          <c:invertIfNegative val="0"/>
          <c:dPt>
            <c:idx val="5"/>
            <c:invertIfNegative val="0"/>
            <c:bubble3D val="0"/>
            <c:spPr>
              <a:solidFill>
                <a:srgbClr val="C00000"/>
              </a:solidFill>
              <a:ln>
                <a:solidFill>
                  <a:srgbClr val="C00000"/>
                </a:solidFill>
              </a:ln>
              <a:effectLst/>
            </c:spPr>
            <c:extLst>
              <c:ext xmlns:c16="http://schemas.microsoft.com/office/drawing/2014/chart" uri="{C3380CC4-5D6E-409C-BE32-E72D297353CC}">
                <c16:uniqueId val="{00000001-F0EA-40F5-859B-2277AA5402C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'[General service readiness.xlsx]General service readiness'!$A$71:$A$76</c:f>
              <c:strCache>
                <c:ptCount val="6"/>
                <c:pt idx="0">
                  <c:v>Basic Amenities</c:v>
                </c:pt>
                <c:pt idx="1">
                  <c:v>Basic equipment</c:v>
                </c:pt>
                <c:pt idx="2">
                  <c:v>Standard precautions for infections prevention</c:v>
                </c:pt>
                <c:pt idx="3">
                  <c:v>Diagnostic capacity</c:v>
                </c:pt>
                <c:pt idx="4">
                  <c:v>Essential medicines</c:v>
                </c:pt>
                <c:pt idx="5">
                  <c:v>General service readiness index</c:v>
                </c:pt>
              </c:strCache>
            </c:strRef>
          </c:cat>
          <c:val>
            <c:numRef>
              <c:f>'[General service readiness.xlsx]General service readiness'!$B$71:$B$76</c:f>
              <c:numCache>
                <c:formatCode>0</c:formatCode>
                <c:ptCount val="6"/>
                <c:pt idx="0">
                  <c:v>56</c:v>
                </c:pt>
                <c:pt idx="1">
                  <c:v>37.097859999999997</c:v>
                </c:pt>
                <c:pt idx="2">
                  <c:v>81.695530000000005</c:v>
                </c:pt>
                <c:pt idx="3">
                  <c:v>55.231070000000003</c:v>
                </c:pt>
                <c:pt idx="4">
                  <c:v>32.180239999999998</c:v>
                </c:pt>
                <c:pt idx="5">
                  <c:v>52.440939999999998</c:v>
                </c:pt>
              </c:numCache>
            </c:numRef>
          </c:val>
          <c:extLst>
            <c:ext xmlns:c16="http://schemas.microsoft.com/office/drawing/2014/chart" uri="{C3380CC4-5D6E-409C-BE32-E72D297353CC}">
              <c16:uniqueId val="{00000000-F0EA-40F5-859B-2277AA5402C5}"/>
            </c:ext>
          </c:extLst>
        </c:ser>
        <c:dLbls>
          <c:dLblPos val="outEnd"/>
          <c:showLegendKey val="0"/>
          <c:showVal val="1"/>
          <c:showCatName val="0"/>
          <c:showSerName val="0"/>
          <c:showPercent val="0"/>
          <c:showBubbleSize val="0"/>
        </c:dLbls>
        <c:gapWidth val="69"/>
        <c:overlap val="-27"/>
        <c:axId val="369833576"/>
        <c:axId val="369833968"/>
      </c:barChart>
      <c:catAx>
        <c:axId val="369833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369833968"/>
        <c:crosses val="autoZero"/>
        <c:auto val="1"/>
        <c:lblAlgn val="ctr"/>
        <c:lblOffset val="100"/>
        <c:noMultiLvlLbl val="0"/>
      </c:catAx>
      <c:valAx>
        <c:axId val="369833968"/>
        <c:scaling>
          <c:orientation val="minMax"/>
          <c:max val="100"/>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sz="1000">
                    <a:solidFill>
                      <a:sysClr val="windowText" lastClr="000000"/>
                    </a:solidFill>
                    <a:latin typeface="+mn-lt"/>
                  </a:rPr>
                  <a:t>Index</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698335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5"/>
          <c:order val="5"/>
          <c:tx>
            <c:strRef>
              <c:f>'[General service readiness.xlsx]General service readiness'!$G$80</c:f>
              <c:strCache>
                <c:ptCount val="1"/>
                <c:pt idx="0">
                  <c:v>General service readiness index</c:v>
                </c:pt>
              </c:strCache>
            </c:strRef>
          </c:tx>
          <c:spPr>
            <a:solidFill>
              <a:schemeClr val="accent6">
                <a:lumMod val="50000"/>
              </a:schemeClr>
            </a:solidFill>
            <a:ln w="19050">
              <a:solidFill>
                <a:schemeClr val="accent6">
                  <a:lumMod val="50000"/>
                </a:schemeClr>
              </a:solidFill>
            </a:ln>
            <a:effectLst/>
          </c:spPr>
          <c:invertIfNegative val="0"/>
          <c:cat>
            <c:strRef>
              <c:f>'[General service readiness.xlsx]General service readiness'!$A$81:$A$104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strCache>
            </c:strRef>
          </c:cat>
          <c:val>
            <c:numRef>
              <c:f>'[General service readiness.xlsx]General service readiness'!$G$81:$G$104</c:f>
              <c:numCache>
                <c:formatCode>0</c:formatCode>
                <c:ptCount val="24"/>
                <c:pt idx="0">
                  <c:v>77.812246000000002</c:v>
                </c:pt>
                <c:pt idx="1">
                  <c:v>76.689064000000002</c:v>
                </c:pt>
                <c:pt idx="2">
                  <c:v>65.997208000000001</c:v>
                </c:pt>
                <c:pt idx="3">
                  <c:v>60.925757999999995</c:v>
                </c:pt>
                <c:pt idx="4">
                  <c:v>47.239891999999998</c:v>
                </c:pt>
                <c:pt idx="6">
                  <c:v>47.019939999999998</c:v>
                </c:pt>
                <c:pt idx="7">
                  <c:v>57.523442000000003</c:v>
                </c:pt>
                <c:pt idx="9">
                  <c:v>57.540205999999998</c:v>
                </c:pt>
                <c:pt idx="10">
                  <c:v>48.579962000000002</c:v>
                </c:pt>
                <c:pt idx="12">
                  <c:v>56.8427619047619</c:v>
                </c:pt>
                <c:pt idx="13">
                  <c:v>52.213380952380952</c:v>
                </c:pt>
                <c:pt idx="14">
                  <c:v>61.298571428571428</c:v>
                </c:pt>
                <c:pt idx="15">
                  <c:v>56.374476190476187</c:v>
                </c:pt>
                <c:pt idx="16">
                  <c:v>49.909666666666666</c:v>
                </c:pt>
                <c:pt idx="17">
                  <c:v>51.1632380952381</c:v>
                </c:pt>
                <c:pt idx="18">
                  <c:v>67.648714285714291</c:v>
                </c:pt>
                <c:pt idx="19">
                  <c:v>48.556476190476189</c:v>
                </c:pt>
                <c:pt idx="20">
                  <c:v>55.962714285714284</c:v>
                </c:pt>
                <c:pt idx="21">
                  <c:v>46.150476190476198</c:v>
                </c:pt>
                <c:pt idx="23">
                  <c:v>52.440939999999998</c:v>
                </c:pt>
              </c:numCache>
            </c:numRef>
          </c:val>
          <c:extLst>
            <c:ext xmlns:c16="http://schemas.microsoft.com/office/drawing/2014/chart" uri="{C3380CC4-5D6E-409C-BE32-E72D297353CC}">
              <c16:uniqueId val="{00000005-0E31-446D-A8CE-B15AC149C5AC}"/>
            </c:ext>
          </c:extLst>
        </c:ser>
        <c:dLbls>
          <c:showLegendKey val="0"/>
          <c:showVal val="0"/>
          <c:showCatName val="0"/>
          <c:showSerName val="0"/>
          <c:showPercent val="0"/>
          <c:showBubbleSize val="0"/>
        </c:dLbls>
        <c:gapWidth val="25"/>
        <c:axId val="288750280"/>
        <c:axId val="288750672"/>
      </c:barChart>
      <c:scatterChart>
        <c:scatterStyle val="lineMarker"/>
        <c:varyColors val="0"/>
        <c:ser>
          <c:idx val="0"/>
          <c:order val="0"/>
          <c:tx>
            <c:strRef>
              <c:f>'[General service readiness.xlsx]General service readiness'!$B$80</c:f>
              <c:strCache>
                <c:ptCount val="1"/>
                <c:pt idx="0">
                  <c:v>Basic Amenities</c:v>
                </c:pt>
              </c:strCache>
            </c:strRef>
          </c:tx>
          <c:spPr>
            <a:ln w="19050" cap="rnd">
              <a:noFill/>
              <a:round/>
            </a:ln>
            <a:effectLst/>
          </c:spPr>
          <c:marker>
            <c:symbol val="circle"/>
            <c:size val="5"/>
            <c:spPr>
              <a:noFill/>
              <a:ln w="9525">
                <a:solidFill>
                  <a:srgbClr val="FF0000"/>
                </a:solidFill>
              </a:ln>
              <a:effectLst/>
            </c:spPr>
          </c:marker>
          <c:xVal>
            <c:strRef>
              <c:f>'[General service readiness.xlsx]General service readiness'!$A$81:$A$104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strCache>
            </c:strRef>
          </c:xVal>
          <c:yVal>
            <c:numRef>
              <c:f>'[General service readiness.xlsx]General service readiness'!$B$81:$B$104</c:f>
              <c:numCache>
                <c:formatCode>0</c:formatCode>
                <c:ptCount val="24"/>
                <c:pt idx="0">
                  <c:v>74.489800000000002</c:v>
                </c:pt>
                <c:pt idx="1">
                  <c:v>73.015870000000007</c:v>
                </c:pt>
                <c:pt idx="2">
                  <c:v>64.532020000000003</c:v>
                </c:pt>
                <c:pt idx="3">
                  <c:v>62.33766</c:v>
                </c:pt>
                <c:pt idx="4">
                  <c:v>52.560650000000003</c:v>
                </c:pt>
                <c:pt idx="6">
                  <c:v>50.89846</c:v>
                </c:pt>
                <c:pt idx="7">
                  <c:v>61.095619999999997</c:v>
                </c:pt>
                <c:pt idx="9">
                  <c:v>60</c:v>
                </c:pt>
                <c:pt idx="10">
                  <c:v>53</c:v>
                </c:pt>
                <c:pt idx="12">
                  <c:v>65.571428571428569</c:v>
                </c:pt>
                <c:pt idx="13">
                  <c:v>61.428571428571431</c:v>
                </c:pt>
                <c:pt idx="14">
                  <c:v>76</c:v>
                </c:pt>
                <c:pt idx="15">
                  <c:v>65</c:v>
                </c:pt>
                <c:pt idx="16">
                  <c:v>47.285714285714285</c:v>
                </c:pt>
                <c:pt idx="17">
                  <c:v>58.285714285714285</c:v>
                </c:pt>
                <c:pt idx="18">
                  <c:v>75.142857142857139</c:v>
                </c:pt>
                <c:pt idx="19">
                  <c:v>65.714285714285708</c:v>
                </c:pt>
                <c:pt idx="20">
                  <c:v>60.285714285714285</c:v>
                </c:pt>
                <c:pt idx="21">
                  <c:v>49.857142857142854</c:v>
                </c:pt>
                <c:pt idx="23">
                  <c:v>56</c:v>
                </c:pt>
              </c:numCache>
            </c:numRef>
          </c:yVal>
          <c:smooth val="0"/>
          <c:extLst>
            <c:ext xmlns:c16="http://schemas.microsoft.com/office/drawing/2014/chart" uri="{C3380CC4-5D6E-409C-BE32-E72D297353CC}">
              <c16:uniqueId val="{00000000-0E31-446D-A8CE-B15AC149C5AC}"/>
            </c:ext>
          </c:extLst>
        </c:ser>
        <c:ser>
          <c:idx val="1"/>
          <c:order val="1"/>
          <c:tx>
            <c:strRef>
              <c:f>'[General service readiness.xlsx]General service readiness'!$C$80</c:f>
              <c:strCache>
                <c:ptCount val="1"/>
                <c:pt idx="0">
                  <c:v>Basic equipment</c:v>
                </c:pt>
              </c:strCache>
            </c:strRef>
          </c:tx>
          <c:spPr>
            <a:ln w="19050" cap="rnd">
              <a:noFill/>
              <a:round/>
            </a:ln>
            <a:effectLst/>
          </c:spPr>
          <c:marker>
            <c:symbol val="circle"/>
            <c:size val="7"/>
            <c:spPr>
              <a:solidFill>
                <a:schemeClr val="accent2"/>
              </a:solidFill>
              <a:ln w="9525">
                <a:solidFill>
                  <a:schemeClr val="accent2"/>
                </a:solidFill>
              </a:ln>
              <a:effectLst/>
            </c:spPr>
          </c:marker>
          <c:xVal>
            <c:strRef>
              <c:f>'[General service readiness.xlsx]General service readiness'!$A$81:$A$104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strCache>
            </c:strRef>
          </c:xVal>
          <c:yVal>
            <c:numRef>
              <c:f>'[General service readiness.xlsx]General service readiness'!$C$81:$C$104</c:f>
              <c:numCache>
                <c:formatCode>0</c:formatCode>
                <c:ptCount val="24"/>
                <c:pt idx="0">
                  <c:v>64.285709999999995</c:v>
                </c:pt>
                <c:pt idx="1">
                  <c:v>71.781310000000005</c:v>
                </c:pt>
                <c:pt idx="2">
                  <c:v>54.02299</c:v>
                </c:pt>
                <c:pt idx="3">
                  <c:v>45.995669999999997</c:v>
                </c:pt>
                <c:pt idx="4">
                  <c:v>30.997299999999999</c:v>
                </c:pt>
                <c:pt idx="6">
                  <c:v>34.13861</c:v>
                </c:pt>
                <c:pt idx="7">
                  <c:v>39.830280000000002</c:v>
                </c:pt>
                <c:pt idx="9">
                  <c:v>40.714030000000001</c:v>
                </c:pt>
                <c:pt idx="10">
                  <c:v>34.35501</c:v>
                </c:pt>
                <c:pt idx="12">
                  <c:v>48.952380952380949</c:v>
                </c:pt>
                <c:pt idx="13">
                  <c:v>29.333333333333332</c:v>
                </c:pt>
                <c:pt idx="14">
                  <c:v>38.142857142857146</c:v>
                </c:pt>
                <c:pt idx="15">
                  <c:v>43.952380952380949</c:v>
                </c:pt>
                <c:pt idx="16">
                  <c:v>31.047619047619047</c:v>
                </c:pt>
                <c:pt idx="17">
                  <c:v>32.19047619047619</c:v>
                </c:pt>
                <c:pt idx="18">
                  <c:v>58.285714285714285</c:v>
                </c:pt>
                <c:pt idx="19">
                  <c:v>24.238095238095237</c:v>
                </c:pt>
                <c:pt idx="20">
                  <c:v>48.142857142857146</c:v>
                </c:pt>
                <c:pt idx="21">
                  <c:v>23.095238095238095</c:v>
                </c:pt>
                <c:pt idx="23">
                  <c:v>37.097859999999997</c:v>
                </c:pt>
              </c:numCache>
            </c:numRef>
          </c:yVal>
          <c:smooth val="0"/>
          <c:extLst>
            <c:ext xmlns:c16="http://schemas.microsoft.com/office/drawing/2014/chart" uri="{C3380CC4-5D6E-409C-BE32-E72D297353CC}">
              <c16:uniqueId val="{00000001-0E31-446D-A8CE-B15AC149C5AC}"/>
            </c:ext>
          </c:extLst>
        </c:ser>
        <c:ser>
          <c:idx val="2"/>
          <c:order val="2"/>
          <c:tx>
            <c:strRef>
              <c:f>'[General service readiness.xlsx]General service readiness'!$D$80</c:f>
              <c:strCache>
                <c:ptCount val="1"/>
                <c:pt idx="0">
                  <c:v>Standard precautions for infections prevention</c:v>
                </c:pt>
              </c:strCache>
            </c:strRef>
          </c:tx>
          <c:spPr>
            <a:ln w="19050" cap="rnd">
              <a:noFill/>
              <a:round/>
            </a:ln>
            <a:effectLst/>
          </c:spPr>
          <c:marker>
            <c:symbol val="star"/>
            <c:size val="7"/>
            <c:spPr>
              <a:noFill/>
              <a:ln w="9525">
                <a:solidFill>
                  <a:srgbClr val="FF0000"/>
                </a:solidFill>
              </a:ln>
              <a:effectLst/>
            </c:spPr>
          </c:marker>
          <c:xVal>
            <c:strRef>
              <c:f>'[General service readiness.xlsx]General service readiness'!$A$81:$A$104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strCache>
            </c:strRef>
          </c:xVal>
          <c:yVal>
            <c:numRef>
              <c:f>'[General service readiness.xlsx]General service readiness'!$D$81:$D$104</c:f>
              <c:numCache>
                <c:formatCode>0</c:formatCode>
                <c:ptCount val="24"/>
                <c:pt idx="0">
                  <c:v>95.714290000000005</c:v>
                </c:pt>
                <c:pt idx="1">
                  <c:v>91.851849999999999</c:v>
                </c:pt>
                <c:pt idx="2">
                  <c:v>78.275859999999994</c:v>
                </c:pt>
                <c:pt idx="3">
                  <c:v>85.681820000000002</c:v>
                </c:pt>
                <c:pt idx="4">
                  <c:v>80.188680000000005</c:v>
                </c:pt>
                <c:pt idx="6">
                  <c:v>81.473740000000006</c:v>
                </c:pt>
                <c:pt idx="7">
                  <c:v>81.900310000000005</c:v>
                </c:pt>
                <c:pt idx="9">
                  <c:v>85.147729999999996</c:v>
                </c:pt>
                <c:pt idx="10">
                  <c:v>79.077039999999997</c:v>
                </c:pt>
                <c:pt idx="12">
                  <c:v>75.599999999999994</c:v>
                </c:pt>
                <c:pt idx="13">
                  <c:v>85.5</c:v>
                </c:pt>
                <c:pt idx="14">
                  <c:v>81.2</c:v>
                </c:pt>
                <c:pt idx="15">
                  <c:v>91.3</c:v>
                </c:pt>
                <c:pt idx="16">
                  <c:v>90.8</c:v>
                </c:pt>
                <c:pt idx="17">
                  <c:v>75.400000000000006</c:v>
                </c:pt>
                <c:pt idx="18">
                  <c:v>90.9</c:v>
                </c:pt>
                <c:pt idx="19">
                  <c:v>76</c:v>
                </c:pt>
                <c:pt idx="20">
                  <c:v>83.6</c:v>
                </c:pt>
                <c:pt idx="21">
                  <c:v>75</c:v>
                </c:pt>
                <c:pt idx="23">
                  <c:v>81.695530000000005</c:v>
                </c:pt>
              </c:numCache>
            </c:numRef>
          </c:yVal>
          <c:smooth val="0"/>
          <c:extLst>
            <c:ext xmlns:c16="http://schemas.microsoft.com/office/drawing/2014/chart" uri="{C3380CC4-5D6E-409C-BE32-E72D297353CC}">
              <c16:uniqueId val="{00000002-0E31-446D-A8CE-B15AC149C5AC}"/>
            </c:ext>
          </c:extLst>
        </c:ser>
        <c:ser>
          <c:idx val="3"/>
          <c:order val="3"/>
          <c:tx>
            <c:strRef>
              <c:f>'[General service readiness.xlsx]General service readiness'!$E$80</c:f>
              <c:strCache>
                <c:ptCount val="1"/>
                <c:pt idx="0">
                  <c:v>Diagnostic capacity</c:v>
                </c:pt>
              </c:strCache>
            </c:strRef>
          </c:tx>
          <c:spPr>
            <a:ln w="19050" cap="rnd">
              <a:noFill/>
              <a:round/>
            </a:ln>
            <a:effectLst/>
          </c:spPr>
          <c:marker>
            <c:symbol val="plus"/>
            <c:size val="7"/>
            <c:spPr>
              <a:noFill/>
              <a:ln w="9525">
                <a:solidFill>
                  <a:schemeClr val="accent4"/>
                </a:solidFill>
              </a:ln>
              <a:effectLst/>
            </c:spPr>
          </c:marker>
          <c:xVal>
            <c:strRef>
              <c:f>'[General service readiness.xlsx]General service readiness'!$A$81:$A$104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strCache>
            </c:strRef>
          </c:xVal>
          <c:yVal>
            <c:numRef>
              <c:f>'[General service readiness.xlsx]General service readiness'!$E$81:$E$104</c:f>
              <c:numCache>
                <c:formatCode>0</c:formatCode>
                <c:ptCount val="24"/>
                <c:pt idx="0">
                  <c:v>92.857140000000001</c:v>
                </c:pt>
                <c:pt idx="1">
                  <c:v>84.722219999999993</c:v>
                </c:pt>
                <c:pt idx="2">
                  <c:v>84.051720000000003</c:v>
                </c:pt>
                <c:pt idx="3">
                  <c:v>72.159090000000006</c:v>
                </c:pt>
                <c:pt idx="4">
                  <c:v>45.28302</c:v>
                </c:pt>
                <c:pt idx="6">
                  <c:v>45.750830000000001</c:v>
                </c:pt>
                <c:pt idx="7">
                  <c:v>63.984650000000002</c:v>
                </c:pt>
                <c:pt idx="9">
                  <c:v>63.306240000000003</c:v>
                </c:pt>
                <c:pt idx="10">
                  <c:v>49.106090000000002</c:v>
                </c:pt>
                <c:pt idx="12">
                  <c:v>55.25</c:v>
                </c:pt>
                <c:pt idx="13">
                  <c:v>47.125</c:v>
                </c:pt>
                <c:pt idx="14">
                  <c:v>63.75</c:v>
                </c:pt>
                <c:pt idx="15">
                  <c:v>56.5</c:v>
                </c:pt>
                <c:pt idx="16">
                  <c:v>51.375</c:v>
                </c:pt>
                <c:pt idx="17">
                  <c:v>52.5</c:v>
                </c:pt>
                <c:pt idx="18">
                  <c:v>64.875</c:v>
                </c:pt>
                <c:pt idx="19">
                  <c:v>37.75</c:v>
                </c:pt>
                <c:pt idx="20">
                  <c:v>50.625</c:v>
                </c:pt>
                <c:pt idx="21">
                  <c:v>50</c:v>
                </c:pt>
                <c:pt idx="23">
                  <c:v>55.231070000000003</c:v>
                </c:pt>
              </c:numCache>
            </c:numRef>
          </c:yVal>
          <c:smooth val="0"/>
          <c:extLst>
            <c:ext xmlns:c16="http://schemas.microsoft.com/office/drawing/2014/chart" uri="{C3380CC4-5D6E-409C-BE32-E72D297353CC}">
              <c16:uniqueId val="{00000003-0E31-446D-A8CE-B15AC149C5AC}"/>
            </c:ext>
          </c:extLst>
        </c:ser>
        <c:ser>
          <c:idx val="4"/>
          <c:order val="4"/>
          <c:tx>
            <c:strRef>
              <c:f>'[General service readiness.xlsx]General service readiness'!$F$80</c:f>
              <c:strCache>
                <c:ptCount val="1"/>
                <c:pt idx="0">
                  <c:v>Essential medicines</c:v>
                </c:pt>
              </c:strCache>
            </c:strRef>
          </c:tx>
          <c:spPr>
            <a:ln w="19050" cap="rnd">
              <a:noFill/>
              <a:round/>
            </a:ln>
            <a:effectLst/>
          </c:spPr>
          <c:marker>
            <c:symbol val="diamond"/>
            <c:size val="7"/>
            <c:spPr>
              <a:solidFill>
                <a:schemeClr val="accent5"/>
              </a:solidFill>
              <a:ln w="9525">
                <a:solidFill>
                  <a:schemeClr val="accent5"/>
                </a:solidFill>
              </a:ln>
              <a:effectLst/>
            </c:spPr>
          </c:marker>
          <c:xVal>
            <c:strRef>
              <c:f>'[General service readiness.xlsx]General service readiness'!$A$81:$A$104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strCache>
            </c:strRef>
          </c:xVal>
          <c:yVal>
            <c:numRef>
              <c:f>'[General service readiness.xlsx]General service readiness'!$F$81:$F$104</c:f>
              <c:numCache>
                <c:formatCode>0</c:formatCode>
                <c:ptCount val="24"/>
                <c:pt idx="0">
                  <c:v>61.714289999999998</c:v>
                </c:pt>
                <c:pt idx="1">
                  <c:v>62.074069999999999</c:v>
                </c:pt>
                <c:pt idx="2">
                  <c:v>49.103450000000002</c:v>
                </c:pt>
                <c:pt idx="3">
                  <c:v>38.454549999999998</c:v>
                </c:pt>
                <c:pt idx="4">
                  <c:v>27.169809999999998</c:v>
                </c:pt>
                <c:pt idx="6">
                  <c:v>22.838059999999999</c:v>
                </c:pt>
                <c:pt idx="7">
                  <c:v>40.806350000000002</c:v>
                </c:pt>
                <c:pt idx="9">
                  <c:v>38.533029999999997</c:v>
                </c:pt>
                <c:pt idx="10">
                  <c:v>27.36167</c:v>
                </c:pt>
                <c:pt idx="12">
                  <c:v>38.840000000000003</c:v>
                </c:pt>
                <c:pt idx="13">
                  <c:v>37.68</c:v>
                </c:pt>
                <c:pt idx="14">
                  <c:v>47.4</c:v>
                </c:pt>
                <c:pt idx="15">
                  <c:v>25.12</c:v>
                </c:pt>
                <c:pt idx="16">
                  <c:v>29.04</c:v>
                </c:pt>
                <c:pt idx="17">
                  <c:v>37.44</c:v>
                </c:pt>
                <c:pt idx="18">
                  <c:v>49.04</c:v>
                </c:pt>
                <c:pt idx="19">
                  <c:v>39.08</c:v>
                </c:pt>
                <c:pt idx="20">
                  <c:v>37.159999999999997</c:v>
                </c:pt>
                <c:pt idx="21">
                  <c:v>32.799999999999997</c:v>
                </c:pt>
                <c:pt idx="23">
                  <c:v>32.180239999999998</c:v>
                </c:pt>
              </c:numCache>
            </c:numRef>
          </c:yVal>
          <c:smooth val="0"/>
          <c:extLst>
            <c:ext xmlns:c16="http://schemas.microsoft.com/office/drawing/2014/chart" uri="{C3380CC4-5D6E-409C-BE32-E72D297353CC}">
              <c16:uniqueId val="{00000004-0E31-446D-A8CE-B15AC149C5AC}"/>
            </c:ext>
          </c:extLst>
        </c:ser>
        <c:dLbls>
          <c:showLegendKey val="0"/>
          <c:showVal val="0"/>
          <c:showCatName val="0"/>
          <c:showSerName val="0"/>
          <c:showPercent val="0"/>
          <c:showBubbleSize val="0"/>
        </c:dLbls>
        <c:axId val="288750280"/>
        <c:axId val="288750672"/>
      </c:scatterChart>
      <c:catAx>
        <c:axId val="288750280"/>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288750672"/>
        <c:crosses val="autoZero"/>
        <c:auto val="1"/>
        <c:lblAlgn val="ctr"/>
        <c:lblOffset val="100"/>
        <c:noMultiLvlLbl val="0"/>
      </c:catAx>
      <c:valAx>
        <c:axId val="288750672"/>
        <c:scaling>
          <c:orientation val="minMax"/>
          <c:max val="1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100" b="1">
                    <a:solidFill>
                      <a:sysClr val="windowText" lastClr="000000"/>
                    </a:solidFill>
                    <a:latin typeface="Georgia" panose="02040502050405020303" pitchFamily="18" charset="0"/>
                  </a:rPr>
                  <a:t>Index</a:t>
                </a:r>
              </a:p>
              <a:p>
                <a:pPr>
                  <a:defRPr/>
                </a:pPr>
                <a:endParaRPr lang="en-US" sz="1100" b="1">
                  <a:solidFill>
                    <a:sysClr val="windowText" lastClr="000000"/>
                  </a:solidFill>
                  <a:latin typeface="Georgia" panose="02040502050405020303"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88750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'C:\Users\WHO\Downloads\[Uganda_results_20192.xlsx]Basic Amenities'!$B$68</c:f>
              <c:strCache>
                <c:ptCount val="1"/>
                <c:pt idx="0">
                  <c:v>National</c:v>
                </c:pt>
              </c:strCache>
            </c:strRef>
          </c:tx>
          <c:spPr>
            <a:solidFill>
              <a:srgbClr val="FFC000"/>
            </a:solidFill>
            <a:ln>
              <a:noFill/>
            </a:ln>
            <a:effectLst/>
          </c:spPr>
          <c:invertIfNegative val="0"/>
          <c:dPt>
            <c:idx val="9"/>
            <c:invertIfNegative val="0"/>
            <c:bubble3D val="0"/>
            <c:spPr>
              <a:pattFill prst="wdDnDiag">
                <a:fgClr>
                  <a:schemeClr val="tx1">
                    <a:lumMod val="65000"/>
                    <a:lumOff val="35000"/>
                  </a:schemeClr>
                </a:fgClr>
                <a:bgClr>
                  <a:schemeClr val="bg1"/>
                </a:bgClr>
              </a:pattFill>
              <a:ln>
                <a:solidFill>
                  <a:schemeClr val="tx1">
                    <a:lumMod val="50000"/>
                    <a:lumOff val="50000"/>
                  </a:schemeClr>
                </a:solidFill>
              </a:ln>
              <a:effectLst/>
            </c:spPr>
            <c:extLst>
              <c:ext xmlns:c16="http://schemas.microsoft.com/office/drawing/2014/chart" uri="{C3380CC4-5D6E-409C-BE32-E72D297353CC}">
                <c16:uniqueId val="{00000001-33F1-4FB0-B3C2-E5519D5D6669}"/>
              </c:ext>
            </c:extLst>
          </c:dPt>
          <c:cat>
            <c:strRef>
              <c:f>'C:\Users\WHO\Downloads\[Uganda_results_20192.xlsx]Basic Amenities'!$A$69:$A$78</c:f>
              <c:strCache>
                <c:ptCount val="10"/>
                <c:pt idx="0">
                  <c:v>A functioning toilet</c:v>
                </c:pt>
                <c:pt idx="1">
                  <c:v>A power source</c:v>
                </c:pt>
                <c:pt idx="2">
                  <c:v>Improved water source within 500m of facility</c:v>
                </c:pt>
                <c:pt idx="3">
                  <c:v>A consultation room with auditory and visual privacy</c:v>
                </c:pt>
                <c:pt idx="4">
                  <c:v>An emergency transport</c:v>
                </c:pt>
                <c:pt idx="5">
                  <c:v>A communication equipment</c:v>
                </c:pt>
                <c:pt idx="6">
                  <c:v>A computer with internet</c:v>
                </c:pt>
                <c:pt idx="8">
                  <c:v>Facilities with all the items</c:v>
                </c:pt>
                <c:pt idx="9">
                  <c:v>Mean of items of the items</c:v>
                </c:pt>
              </c:strCache>
            </c:strRef>
          </c:cat>
          <c:val>
            <c:numRef>
              <c:f>'C:\Users\WHO\Downloads\[Uganda_results_20192.xlsx]Basic Amenities'!$B$69:$B$78</c:f>
              <c:numCache>
                <c:formatCode>General</c:formatCode>
                <c:ptCount val="10"/>
                <c:pt idx="0">
                  <c:v>99</c:v>
                </c:pt>
                <c:pt idx="1">
                  <c:v>82</c:v>
                </c:pt>
                <c:pt idx="2">
                  <c:v>73</c:v>
                </c:pt>
                <c:pt idx="3">
                  <c:v>67</c:v>
                </c:pt>
                <c:pt idx="4">
                  <c:v>50</c:v>
                </c:pt>
                <c:pt idx="5">
                  <c:v>48</c:v>
                </c:pt>
                <c:pt idx="6">
                  <c:v>26</c:v>
                </c:pt>
                <c:pt idx="8">
                  <c:v>0</c:v>
                </c:pt>
                <c:pt idx="9">
                  <c:v>56</c:v>
                </c:pt>
              </c:numCache>
            </c:numRef>
          </c:val>
          <c:extLst>
            <c:ext xmlns:c16="http://schemas.microsoft.com/office/drawing/2014/chart" uri="{C3380CC4-5D6E-409C-BE32-E72D297353CC}">
              <c16:uniqueId val="{00000000-33F1-4FB0-B3C2-E5519D5D6669}"/>
            </c:ext>
          </c:extLst>
        </c:ser>
        <c:dLbls>
          <c:showLegendKey val="0"/>
          <c:showVal val="0"/>
          <c:showCatName val="0"/>
          <c:showSerName val="0"/>
          <c:showPercent val="0"/>
          <c:showBubbleSize val="0"/>
        </c:dLbls>
        <c:gapWidth val="42"/>
        <c:axId val="251654512"/>
        <c:axId val="251654904"/>
      </c:barChart>
      <c:catAx>
        <c:axId val="251654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251654904"/>
        <c:crosses val="autoZero"/>
        <c:auto val="1"/>
        <c:lblAlgn val="ctr"/>
        <c:lblOffset val="100"/>
        <c:noMultiLvlLbl val="0"/>
      </c:catAx>
      <c:valAx>
        <c:axId val="251654904"/>
        <c:scaling>
          <c:orientation val="minMax"/>
          <c:max val="100"/>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654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'C:\Users\WHO\Downloads\[Uganda_results_20192.xlsx]Basic Amenities'!$B$82</c:f>
              <c:strCache>
                <c:ptCount val="1"/>
                <c:pt idx="0">
                  <c:v>Mean availability of items of basic amenities (%)</c:v>
                </c:pt>
              </c:strCache>
            </c:strRef>
          </c:tx>
          <c:spPr>
            <a:solidFill>
              <a:schemeClr val="accent1"/>
            </a:solidFill>
            <a:ln>
              <a:noFill/>
            </a:ln>
            <a:effectLst/>
          </c:spPr>
          <c:invertIfNegative val="0"/>
          <c:dPt>
            <c:idx val="23"/>
            <c:invertIfNegative val="0"/>
            <c:bubble3D val="0"/>
            <c:spPr>
              <a:pattFill prst="wdDnDiag">
                <a:fgClr>
                  <a:sysClr val="windowText" lastClr="000000"/>
                </a:fgClr>
                <a:bgClr>
                  <a:schemeClr val="bg1"/>
                </a:bgClr>
              </a:pattFill>
              <a:ln>
                <a:solidFill>
                  <a:schemeClr val="accent1"/>
                </a:solidFill>
              </a:ln>
              <a:effectLst/>
            </c:spPr>
            <c:extLst>
              <c:ext xmlns:c16="http://schemas.microsoft.com/office/drawing/2014/chart" uri="{C3380CC4-5D6E-409C-BE32-E72D297353CC}">
                <c16:uniqueId val="{00000001-454D-494A-896B-79DA3BB01AF1}"/>
              </c:ext>
            </c:extLst>
          </c:dPt>
          <c:cat>
            <c:strRef>
              <c:f>'C:\Users\WHO\Downloads\[Uganda_results_20192.xlsx]Basic Amenities'!$A$83:$A$106</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strCache>
            </c:strRef>
          </c:cat>
          <c:val>
            <c:numRef>
              <c:f>'C:\Users\WHO\Downloads\[Uganda_results_20192.xlsx]Basic Amenities'!$B$83:$B$106</c:f>
              <c:numCache>
                <c:formatCode>General</c:formatCode>
                <c:ptCount val="24"/>
                <c:pt idx="0">
                  <c:v>74.489800000000002</c:v>
                </c:pt>
                <c:pt idx="1">
                  <c:v>73.015870000000007</c:v>
                </c:pt>
                <c:pt idx="2">
                  <c:v>64.532020000000003</c:v>
                </c:pt>
                <c:pt idx="3">
                  <c:v>62.33766</c:v>
                </c:pt>
                <c:pt idx="4">
                  <c:v>52.560650000000003</c:v>
                </c:pt>
                <c:pt idx="6">
                  <c:v>50.89846</c:v>
                </c:pt>
                <c:pt idx="7">
                  <c:v>61.095619999999997</c:v>
                </c:pt>
                <c:pt idx="9">
                  <c:v>60</c:v>
                </c:pt>
                <c:pt idx="10">
                  <c:v>53</c:v>
                </c:pt>
                <c:pt idx="12">
                  <c:v>65.571428571428569</c:v>
                </c:pt>
                <c:pt idx="13">
                  <c:v>61.428571428571431</c:v>
                </c:pt>
                <c:pt idx="14">
                  <c:v>76</c:v>
                </c:pt>
                <c:pt idx="15">
                  <c:v>65</c:v>
                </c:pt>
                <c:pt idx="16">
                  <c:v>47.285714285714285</c:v>
                </c:pt>
                <c:pt idx="17">
                  <c:v>58.285714285714285</c:v>
                </c:pt>
                <c:pt idx="18">
                  <c:v>75.142857142857139</c:v>
                </c:pt>
                <c:pt idx="19">
                  <c:v>65.714285714285708</c:v>
                </c:pt>
                <c:pt idx="20">
                  <c:v>60.285714285714285</c:v>
                </c:pt>
                <c:pt idx="21">
                  <c:v>49.857142857142854</c:v>
                </c:pt>
                <c:pt idx="23">
                  <c:v>56</c:v>
                </c:pt>
              </c:numCache>
            </c:numRef>
          </c:val>
          <c:extLst>
            <c:ext xmlns:c16="http://schemas.microsoft.com/office/drawing/2014/chart" uri="{C3380CC4-5D6E-409C-BE32-E72D297353CC}">
              <c16:uniqueId val="{00000000-648C-4F74-A3EC-FE0BDF875F8E}"/>
            </c:ext>
          </c:extLst>
        </c:ser>
        <c:dLbls>
          <c:showLegendKey val="0"/>
          <c:showVal val="0"/>
          <c:showCatName val="0"/>
          <c:showSerName val="0"/>
          <c:showPercent val="0"/>
          <c:showBubbleSize val="0"/>
        </c:dLbls>
        <c:gapWidth val="33"/>
        <c:axId val="372182432"/>
        <c:axId val="276051536"/>
      </c:barChart>
      <c:catAx>
        <c:axId val="372182432"/>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276051536"/>
        <c:crosses val="autoZero"/>
        <c:auto val="1"/>
        <c:lblAlgn val="ctr"/>
        <c:lblOffset val="100"/>
        <c:noMultiLvlLbl val="0"/>
      </c:catAx>
      <c:valAx>
        <c:axId val="276051536"/>
        <c:scaling>
          <c:orientation val="minMax"/>
          <c:max val="100"/>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182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'[Uganda_results_2019.xlsx]Basic equipment'!$B$91</c:f>
              <c:strCache>
                <c:ptCount val="1"/>
                <c:pt idx="0">
                  <c:v>Mean availability of items of medical equipment</c:v>
                </c:pt>
              </c:strCache>
            </c:strRef>
          </c:tx>
          <c:spPr>
            <a:solidFill>
              <a:schemeClr val="accent6">
                <a:lumMod val="75000"/>
              </a:schemeClr>
            </a:solidFill>
            <a:ln>
              <a:solidFill>
                <a:schemeClr val="accent6">
                  <a:lumMod val="7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'[Uganda_results_2019.xlsx]Basic equipment'!$A$92:$A$114</c:f>
              <c:strCache>
                <c:ptCount val="23"/>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2">
                  <c:v>Uganda </c:v>
                </c:pt>
              </c:strCache>
            </c:strRef>
          </c:cat>
          <c:val>
            <c:numRef>
              <c:f>'[Uganda_results_2019.xlsx]Basic equipment'!$B$92:$B$114</c:f>
              <c:numCache>
                <c:formatCode>0</c:formatCode>
                <c:ptCount val="23"/>
                <c:pt idx="0">
                  <c:v>64.285709999999995</c:v>
                </c:pt>
                <c:pt idx="1">
                  <c:v>71.781310000000005</c:v>
                </c:pt>
                <c:pt idx="2">
                  <c:v>54.02299</c:v>
                </c:pt>
                <c:pt idx="3">
                  <c:v>45.995669999999997</c:v>
                </c:pt>
                <c:pt idx="4">
                  <c:v>30.997299999999999</c:v>
                </c:pt>
                <c:pt idx="6">
                  <c:v>34.13861</c:v>
                </c:pt>
                <c:pt idx="7">
                  <c:v>39.830280000000002</c:v>
                </c:pt>
                <c:pt idx="9">
                  <c:v>40.714030000000001</c:v>
                </c:pt>
                <c:pt idx="10">
                  <c:v>34.35501</c:v>
                </c:pt>
                <c:pt idx="12">
                  <c:v>48.952380952380949</c:v>
                </c:pt>
                <c:pt idx="13">
                  <c:v>29.333333333333332</c:v>
                </c:pt>
                <c:pt idx="14">
                  <c:v>38.142857142857146</c:v>
                </c:pt>
                <c:pt idx="15">
                  <c:v>43.952380952380949</c:v>
                </c:pt>
                <c:pt idx="16">
                  <c:v>31.047619047619047</c:v>
                </c:pt>
                <c:pt idx="17">
                  <c:v>32.19047619047619</c:v>
                </c:pt>
                <c:pt idx="18">
                  <c:v>58.285714285714285</c:v>
                </c:pt>
                <c:pt idx="19">
                  <c:v>24.238095238095237</c:v>
                </c:pt>
                <c:pt idx="20">
                  <c:v>48.142857142857146</c:v>
                </c:pt>
                <c:pt idx="21">
                  <c:v>23.095238095238095</c:v>
                </c:pt>
                <c:pt idx="22">
                  <c:v>37.097859999999997</c:v>
                </c:pt>
              </c:numCache>
            </c:numRef>
          </c:val>
          <c:extLst>
            <c:ext xmlns:c16="http://schemas.microsoft.com/office/drawing/2014/chart" uri="{C3380CC4-5D6E-409C-BE32-E72D297353CC}">
              <c16:uniqueId val="{00000000-FCFC-4CBB-A611-C1EDFE9E79D1}"/>
            </c:ext>
          </c:extLst>
        </c:ser>
        <c:dLbls>
          <c:dLblPos val="outEnd"/>
          <c:showLegendKey val="0"/>
          <c:showVal val="1"/>
          <c:showCatName val="0"/>
          <c:showSerName val="0"/>
          <c:showPercent val="0"/>
          <c:showBubbleSize val="0"/>
        </c:dLbls>
        <c:gapWidth val="33"/>
        <c:overlap val="-27"/>
        <c:axId val="276051928"/>
        <c:axId val="146842992"/>
      </c:barChart>
      <c:catAx>
        <c:axId val="276051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146842992"/>
        <c:crosses val="autoZero"/>
        <c:auto val="1"/>
        <c:lblAlgn val="ctr"/>
        <c:lblOffset val="100"/>
        <c:noMultiLvlLbl val="0"/>
      </c:catAx>
      <c:valAx>
        <c:axId val="146842992"/>
        <c:scaling>
          <c:orientation val="minMax"/>
          <c:max val="100"/>
        </c:scaling>
        <c:delete val="0"/>
        <c:axPos val="l"/>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051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'\Users\WHO\Downloads\[Uganda_results_20192.xlsx]Standard precaustions'!$B$57</c:f>
              <c:strCache>
                <c:ptCount val="1"/>
                <c:pt idx="0">
                  <c:v>National</c:v>
                </c:pt>
              </c:strCache>
            </c:strRef>
          </c:tx>
          <c:spPr>
            <a:solidFill>
              <a:srgbClr val="FFC000"/>
            </a:solidFill>
            <a:ln>
              <a:solidFill>
                <a:srgbClr val="FFC000"/>
              </a:solidFill>
            </a:ln>
            <a:effectLst/>
          </c:spPr>
          <c:invertIfNegative val="0"/>
          <c:dPt>
            <c:idx val="11"/>
            <c:invertIfNegative val="0"/>
            <c:bubble3D val="0"/>
            <c:spPr>
              <a:pattFill prst="wdDnDiag">
                <a:fgClr>
                  <a:srgbClr val="FF0000"/>
                </a:fgClr>
                <a:bgClr>
                  <a:schemeClr val="bg1"/>
                </a:bgClr>
              </a:pattFill>
              <a:ln>
                <a:solidFill>
                  <a:srgbClr val="FF0000"/>
                </a:solidFill>
              </a:ln>
              <a:effectLst/>
            </c:spPr>
            <c:extLst>
              <c:ext xmlns:c16="http://schemas.microsoft.com/office/drawing/2014/chart" uri="{C3380CC4-5D6E-409C-BE32-E72D297353CC}">
                <c16:uniqueId val="{00000001-3888-4B04-B514-47CEF1AF61E8}"/>
              </c:ext>
            </c:extLst>
          </c:dPt>
          <c:dPt>
            <c:idx val="12"/>
            <c:invertIfNegative val="0"/>
            <c:bubble3D val="0"/>
            <c:spPr>
              <a:pattFill prst="wdDnDiag">
                <a:fgClr>
                  <a:srgbClr val="FF0000"/>
                </a:fgClr>
                <a:bgClr>
                  <a:schemeClr val="bg1"/>
                </a:bgClr>
              </a:pattFill>
              <a:ln>
                <a:solidFill>
                  <a:srgbClr val="FF0000"/>
                </a:solidFill>
              </a:ln>
              <a:effectLst/>
            </c:spPr>
            <c:extLst>
              <c:ext xmlns:c16="http://schemas.microsoft.com/office/drawing/2014/chart" uri="{C3380CC4-5D6E-409C-BE32-E72D297353CC}">
                <c16:uniqueId val="{00000003-6119-4CD8-B70F-C6AB7F56A140}"/>
              </c:ext>
            </c:extLst>
          </c:dPt>
          <c:dLbls>
            <c:dLbl>
              <c:idx val="4"/>
              <c:tx>
                <c:rich>
                  <a:bodyPr/>
                  <a:lstStyle/>
                  <a:p>
                    <a:r>
                      <a:rPr lang="en-US"/>
                      <a:t>84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46A3-4407-8FCA-02CBC3B58A91}"/>
                </c:ext>
              </c:extLst>
            </c:dLbl>
            <c:dLbl>
              <c:idx val="12"/>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6="http://schemas.microsoft.com/office/drawing/2014/chart" uri="{C3380CC4-5D6E-409C-BE32-E72D297353CC}">
                  <c16:uniqueId val="{00000003-6119-4CD8-B70F-C6AB7F56A1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'\Users\WHO\Downloads\[Uganda_results_20192.xlsx]Standard precaustions'!$A$58:$A$70</c:f>
              <c:strCache>
                <c:ptCount val="13"/>
                <c:pt idx="0">
                  <c:v>Disposal of Latex Gloves</c:v>
                </c:pt>
                <c:pt idx="1">
                  <c:v>Handwashing Soap</c:v>
                </c:pt>
                <c:pt idx="2">
                  <c:v>Sharps Container</c:v>
                </c:pt>
                <c:pt idx="3">
                  <c:v>Clean Water</c:v>
                </c:pt>
                <c:pt idx="4">
                  <c:v>Environmental Disinfectant</c:v>
                </c:pt>
                <c:pt idx="5">
                  <c:v>Auto-Disposal Syringes</c:v>
                </c:pt>
                <c:pt idx="6">
                  <c:v>Pedal Bin (with lid and plastic)</c:v>
                </c:pt>
                <c:pt idx="7">
                  <c:v>Disposal of Syringes (with disposable needles)</c:v>
                </c:pt>
                <c:pt idx="8">
                  <c:v>Alcohol Based Hand Rub </c:v>
                </c:pt>
                <c:pt idx="9">
                  <c:v>Infection prevention guidelines</c:v>
                </c:pt>
                <c:pt idx="11">
                  <c:v>Facilities with all the items </c:v>
                </c:pt>
                <c:pt idx="12">
                  <c:v>Mean Availability of the items</c:v>
                </c:pt>
              </c:strCache>
            </c:strRef>
          </c:cat>
          <c:val>
            <c:numRef>
              <c:f>'\Users\WHO\Downloads\[Uganda_results_20192.xlsx]Standard precaustions'!$B$58:$B$70</c:f>
              <c:numCache>
                <c:formatCode>General</c:formatCode>
                <c:ptCount val="13"/>
                <c:pt idx="0">
                  <c:v>92</c:v>
                </c:pt>
                <c:pt idx="1">
                  <c:v>91</c:v>
                </c:pt>
                <c:pt idx="2">
                  <c:v>89</c:v>
                </c:pt>
                <c:pt idx="3">
                  <c:v>88</c:v>
                </c:pt>
                <c:pt idx="4">
                  <c:v>85</c:v>
                </c:pt>
                <c:pt idx="5">
                  <c:v>85</c:v>
                </c:pt>
                <c:pt idx="6">
                  <c:v>83</c:v>
                </c:pt>
                <c:pt idx="7">
                  <c:v>83</c:v>
                </c:pt>
                <c:pt idx="8">
                  <c:v>63</c:v>
                </c:pt>
                <c:pt idx="9">
                  <c:v>60</c:v>
                </c:pt>
                <c:pt idx="11">
                  <c:v>0</c:v>
                </c:pt>
                <c:pt idx="12">
                  <c:v>81.695530000000005</c:v>
                </c:pt>
              </c:numCache>
            </c:numRef>
          </c:val>
          <c:extLst>
            <c:ext xmlns:c16="http://schemas.microsoft.com/office/drawing/2014/chart" uri="{C3380CC4-5D6E-409C-BE32-E72D297353CC}">
              <c16:uniqueId val="{00000000-3888-4B04-B514-47CEF1AF61E8}"/>
            </c:ext>
          </c:extLst>
        </c:ser>
        <c:dLbls>
          <c:dLblPos val="outEnd"/>
          <c:showLegendKey val="0"/>
          <c:showVal val="1"/>
          <c:showCatName val="0"/>
          <c:showSerName val="0"/>
          <c:showPercent val="0"/>
          <c:showBubbleSize val="0"/>
        </c:dLbls>
        <c:gapWidth val="33"/>
        <c:axId val="555287776"/>
        <c:axId val="555288168"/>
      </c:barChart>
      <c:catAx>
        <c:axId val="5552877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Georgia" panose="02040502050405020303" pitchFamily="18" charset="0"/>
                <a:ea typeface="+mn-ea"/>
                <a:cs typeface="+mn-cs"/>
              </a:defRPr>
            </a:pPr>
            <a:endParaRPr lang="en-US"/>
          </a:p>
        </c:txPr>
        <c:crossAx val="555288168"/>
        <c:crosses val="autoZero"/>
        <c:auto val="1"/>
        <c:lblAlgn val="ctr"/>
        <c:lblOffset val="100"/>
        <c:noMultiLvlLbl val="0"/>
      </c:catAx>
      <c:valAx>
        <c:axId val="555288168"/>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availability</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2877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'\Users\WHO\Downloads\[Uganda_results_20192.xlsx]Standard precaustions'!$B$75:$B$76</c:f>
              <c:strCache>
                <c:ptCount val="1"/>
                <c:pt idx="0">
                  <c:v>Mean Availability of items of infection prevention</c:v>
                </c:pt>
              </c:strCache>
            </c:strRef>
          </c:tx>
          <c:spPr>
            <a:solidFill>
              <a:schemeClr val="accent2">
                <a:lumMod val="75000"/>
              </a:schemeClr>
            </a:solidFill>
            <a:ln>
              <a:solidFill>
                <a:schemeClr val="accent2">
                  <a:lumMod val="75000"/>
                </a:schemeClr>
              </a:solidFill>
            </a:ln>
            <a:effectLst/>
          </c:spPr>
          <c:invertIfNegative val="0"/>
          <c:dPt>
            <c:idx val="23"/>
            <c:invertIfNegative val="0"/>
            <c:bubble3D val="0"/>
            <c:spPr>
              <a:pattFill prst="wdDnDiag">
                <a:fgClr>
                  <a:schemeClr val="accent2">
                    <a:lumMod val="75000"/>
                  </a:schemeClr>
                </a:fgClr>
                <a:bgClr>
                  <a:schemeClr val="bg1"/>
                </a:bgClr>
              </a:pattFill>
              <a:ln>
                <a:solidFill>
                  <a:schemeClr val="accent2">
                    <a:lumMod val="75000"/>
                  </a:schemeClr>
                </a:solidFill>
              </a:ln>
              <a:effectLst/>
            </c:spPr>
            <c:extLst>
              <c:ext xmlns:c16="http://schemas.microsoft.com/office/drawing/2014/chart" uri="{C3380CC4-5D6E-409C-BE32-E72D297353CC}">
                <c16:uniqueId val="{00000001-22FA-438C-ADD7-927D71CE99A5}"/>
              </c:ext>
            </c:extLst>
          </c:dPt>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'\Users\WHO\Downloads\[Uganda_results_20192.xlsx]Standard precaustions'!$A$77:$A$100</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strCache>
            </c:strRef>
          </c:cat>
          <c:val>
            <c:numRef>
              <c:f>'\Users\WHO\Downloads\[Uganda_results_20192.xlsx]Standard precaustions'!$B$77:$B$100</c:f>
              <c:numCache>
                <c:formatCode>General</c:formatCode>
                <c:ptCount val="24"/>
                <c:pt idx="0">
                  <c:v>95.714290000000005</c:v>
                </c:pt>
                <c:pt idx="1">
                  <c:v>91.851849999999999</c:v>
                </c:pt>
                <c:pt idx="2">
                  <c:v>78.275859999999994</c:v>
                </c:pt>
                <c:pt idx="3">
                  <c:v>85.681820000000002</c:v>
                </c:pt>
                <c:pt idx="4">
                  <c:v>80.188680000000005</c:v>
                </c:pt>
                <c:pt idx="6">
                  <c:v>81.473740000000006</c:v>
                </c:pt>
                <c:pt idx="7">
                  <c:v>81.900310000000005</c:v>
                </c:pt>
                <c:pt idx="9">
                  <c:v>85.147729999999996</c:v>
                </c:pt>
                <c:pt idx="10">
                  <c:v>79.077039999999997</c:v>
                </c:pt>
                <c:pt idx="12">
                  <c:v>75.599999999999994</c:v>
                </c:pt>
                <c:pt idx="13">
                  <c:v>85.5</c:v>
                </c:pt>
                <c:pt idx="14">
                  <c:v>81.2</c:v>
                </c:pt>
                <c:pt idx="15">
                  <c:v>91.3</c:v>
                </c:pt>
                <c:pt idx="16">
                  <c:v>90.8</c:v>
                </c:pt>
                <c:pt idx="17">
                  <c:v>75.400000000000006</c:v>
                </c:pt>
                <c:pt idx="18">
                  <c:v>90.9</c:v>
                </c:pt>
                <c:pt idx="19">
                  <c:v>76</c:v>
                </c:pt>
                <c:pt idx="20">
                  <c:v>83.6</c:v>
                </c:pt>
                <c:pt idx="21">
                  <c:v>75</c:v>
                </c:pt>
                <c:pt idx="23">
                  <c:v>81.695530000000005</c:v>
                </c:pt>
              </c:numCache>
            </c:numRef>
          </c:val>
          <c:extLst>
            <c:ext xmlns:c16="http://schemas.microsoft.com/office/drawing/2014/chart" uri="{C3380CC4-5D6E-409C-BE32-E72D297353CC}">
              <c16:uniqueId val="{00000000-DCD2-4CA0-8BBE-F8B940B43B34}"/>
            </c:ext>
          </c:extLst>
        </c:ser>
        <c:dLbls>
          <c:showLegendKey val="0"/>
          <c:showVal val="0"/>
          <c:showCatName val="0"/>
          <c:showSerName val="0"/>
          <c:showPercent val="0"/>
          <c:showBubbleSize val="0"/>
        </c:dLbls>
        <c:gapWidth val="33"/>
        <c:overlap val="33"/>
        <c:axId val="242638600"/>
        <c:axId val="242638992"/>
      </c:barChart>
      <c:catAx>
        <c:axId val="242638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242638992"/>
        <c:crosses val="autoZero"/>
        <c:auto val="1"/>
        <c:lblAlgn val="ctr"/>
        <c:lblOffset val="100"/>
        <c:noMultiLvlLbl val="0"/>
      </c:catAx>
      <c:valAx>
        <c:axId val="242638992"/>
        <c:scaling>
          <c:orientation val="minMax"/>
          <c:max val="100"/>
        </c:scaling>
        <c:delete val="0"/>
        <c:axPos val="l"/>
        <c:title>
          <c:tx>
            <c:rich>
              <a:bodyPr rot="-5400000" spcFirstLastPara="1" vertOverflow="ellipsis" vert="horz" wrap="square" anchor="ctr" anchorCtr="1"/>
              <a:lstStyle/>
              <a:p>
                <a:pPr>
                  <a:defRPr sz="1050" b="1" i="0" u="none" strike="noStrike" kern="1200" baseline="0">
                    <a:solidFill>
                      <a:schemeClr val="tx1">
                        <a:lumMod val="65000"/>
                        <a:lumOff val="35000"/>
                      </a:schemeClr>
                    </a:solidFill>
                    <a:latin typeface="Georgia" panose="02040502050405020303" pitchFamily="18" charset="0"/>
                    <a:ea typeface="+mn-ea"/>
                    <a:cs typeface="+mn-cs"/>
                  </a:defRPr>
                </a:pPr>
                <a:r>
                  <a:rPr lang="en-US" sz="1050" b="1">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05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2638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'\Users\WHO\Downloads\[Uganda_results_20192.xlsx]Diagnostic_Capacity'!$B$55</c:f>
              <c:strCache>
                <c:ptCount val="1"/>
                <c:pt idx="0">
                  <c:v>National</c:v>
                </c:pt>
              </c:strCache>
            </c:strRef>
          </c:tx>
          <c:spPr>
            <a:solidFill>
              <a:srgbClr val="FFC000"/>
            </a:solidFill>
            <a:ln>
              <a:solidFill>
                <a:srgbClr val="FFC000"/>
              </a:solidFill>
            </a:ln>
            <a:effectLst/>
          </c:spPr>
          <c:invertIfNegative val="0"/>
          <c:dPt>
            <c:idx val="9"/>
            <c:invertIfNegative val="0"/>
            <c:bubble3D val="0"/>
            <c:spPr>
              <a:pattFill prst="wdDnDiag">
                <a:fgClr>
                  <a:schemeClr val="accent2">
                    <a:lumMod val="50000"/>
                  </a:schemeClr>
                </a:fgClr>
                <a:bgClr>
                  <a:schemeClr val="bg1"/>
                </a:bgClr>
              </a:pattFill>
              <a:ln>
                <a:solidFill>
                  <a:schemeClr val="accent2">
                    <a:lumMod val="75000"/>
                  </a:schemeClr>
                </a:solidFill>
              </a:ln>
              <a:effectLst/>
            </c:spPr>
            <c:extLst>
              <c:ext xmlns:c16="http://schemas.microsoft.com/office/drawing/2014/chart" uri="{C3380CC4-5D6E-409C-BE32-E72D297353CC}">
                <c16:uniqueId val="{00000002-B73B-4F17-A8C5-0C2DF07E2F2C}"/>
              </c:ext>
            </c:extLst>
          </c:dPt>
          <c:dPt>
            <c:idx val="10"/>
            <c:invertIfNegative val="0"/>
            <c:bubble3D val="0"/>
            <c:spPr>
              <a:pattFill prst="wdDnDiag">
                <a:fgClr>
                  <a:schemeClr val="accent2">
                    <a:lumMod val="50000"/>
                  </a:schemeClr>
                </a:fgClr>
                <a:bgClr>
                  <a:schemeClr val="bg1"/>
                </a:bgClr>
              </a:pattFill>
              <a:ln>
                <a:solidFill>
                  <a:schemeClr val="accent2">
                    <a:lumMod val="50000"/>
                  </a:schemeClr>
                </a:solidFill>
              </a:ln>
              <a:effectLst/>
            </c:spPr>
            <c:extLst>
              <c:ext xmlns:c16="http://schemas.microsoft.com/office/drawing/2014/chart" uri="{C3380CC4-5D6E-409C-BE32-E72D297353CC}">
                <c16:uniqueId val="{00000001-B73B-4F17-A8C5-0C2DF07E2F2C}"/>
              </c:ext>
            </c:extLst>
          </c:dPt>
          <c:dLbls>
            <c:dLbl>
              <c:idx val="10"/>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B73B-4F17-A8C5-0C2DF07E2F2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'\Users\WHO\Downloads\[Uganda_results_20192.xlsx]Diagnostic_Capacity'!$A$56:$A$66</c:f>
              <c:strCache>
                <c:ptCount val="11"/>
                <c:pt idx="0">
                  <c:v>Dry blood spot collection</c:v>
                </c:pt>
                <c:pt idx="1">
                  <c:v>Urine test for ketone bodies</c:v>
                </c:pt>
                <c:pt idx="2">
                  <c:v>Urine test for protein</c:v>
                </c:pt>
                <c:pt idx="3">
                  <c:v>Urine test for glucose</c:v>
                </c:pt>
                <c:pt idx="4">
                  <c:v>Urine test for pregnancy</c:v>
                </c:pt>
                <c:pt idx="5">
                  <c:v>Syphilis diagnostic capacity</c:v>
                </c:pt>
                <c:pt idx="6">
                  <c:v>HIV diagnostic capacity</c:v>
                </c:pt>
                <c:pt idx="7">
                  <c:v>Malaria dignostic capacity</c:v>
                </c:pt>
                <c:pt idx="9">
                  <c:v>Facilities with all items</c:v>
                </c:pt>
                <c:pt idx="10">
                  <c:v>Mean availability of the items</c:v>
                </c:pt>
              </c:strCache>
            </c:strRef>
          </c:cat>
          <c:val>
            <c:numRef>
              <c:f>'\Users\WHO\Downloads\[Uganda_results_20192.xlsx]Diagnostic_Capacity'!$B$56:$B$66</c:f>
              <c:numCache>
                <c:formatCode>General</c:formatCode>
                <c:ptCount val="11"/>
                <c:pt idx="0">
                  <c:v>37</c:v>
                </c:pt>
                <c:pt idx="1">
                  <c:v>46</c:v>
                </c:pt>
                <c:pt idx="2">
                  <c:v>50</c:v>
                </c:pt>
                <c:pt idx="3">
                  <c:v>50</c:v>
                </c:pt>
                <c:pt idx="4">
                  <c:v>56</c:v>
                </c:pt>
                <c:pt idx="5">
                  <c:v>57</c:v>
                </c:pt>
                <c:pt idx="6">
                  <c:v>65</c:v>
                </c:pt>
                <c:pt idx="7">
                  <c:v>80</c:v>
                </c:pt>
                <c:pt idx="9">
                  <c:v>19</c:v>
                </c:pt>
                <c:pt idx="10">
                  <c:v>55.231070000000003</c:v>
                </c:pt>
              </c:numCache>
            </c:numRef>
          </c:val>
          <c:extLst>
            <c:ext xmlns:c16="http://schemas.microsoft.com/office/drawing/2014/chart" uri="{C3380CC4-5D6E-409C-BE32-E72D297353CC}">
              <c16:uniqueId val="{00000000-B73B-4F17-A8C5-0C2DF07E2F2C}"/>
            </c:ext>
          </c:extLst>
        </c:ser>
        <c:dLbls>
          <c:showLegendKey val="0"/>
          <c:showVal val="0"/>
          <c:showCatName val="0"/>
          <c:showSerName val="0"/>
          <c:showPercent val="0"/>
          <c:showBubbleSize val="0"/>
        </c:dLbls>
        <c:gapWidth val="33"/>
        <c:axId val="242639384"/>
        <c:axId val="242639776"/>
      </c:barChart>
      <c:catAx>
        <c:axId val="2426393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242639776"/>
        <c:crosses val="autoZero"/>
        <c:auto val="1"/>
        <c:lblAlgn val="ctr"/>
        <c:lblOffset val="100"/>
        <c:noMultiLvlLbl val="0"/>
      </c:catAx>
      <c:valAx>
        <c:axId val="242639776"/>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US" sz="1200" b="1"/>
                  <a:t>Percent </a:t>
                </a:r>
                <a:r>
                  <a:rPr lang="en-US" sz="1200" b="1">
                    <a:latin typeface="Georgia" panose="02040502050405020303" pitchFamily="18" charset="0"/>
                  </a:rPr>
                  <a:t>availability</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2639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'\Users\WHO\Downloads\[Uganda_results_20192.xlsx]Diagnostic_Capacity'!$B$70</c:f>
              <c:strCache>
                <c:ptCount val="1"/>
                <c:pt idx="0">
                  <c:v>Mean availability of the items </c:v>
                </c:pt>
              </c:strCache>
            </c:strRef>
          </c:tx>
          <c:spPr>
            <a:solidFill>
              <a:schemeClr val="accent4">
                <a:lumMod val="75000"/>
              </a:schemeClr>
            </a:solidFill>
            <a:ln>
              <a:solidFill>
                <a:schemeClr val="accent4">
                  <a:lumMod val="75000"/>
                </a:schemeClr>
              </a:solidFill>
            </a:ln>
            <a:effectLst/>
          </c:spPr>
          <c:invertIfNegative val="0"/>
          <c:dPt>
            <c:idx val="23"/>
            <c:invertIfNegative val="0"/>
            <c:bubble3D val="0"/>
            <c:spPr>
              <a:pattFill prst="wdDnDiag">
                <a:fgClr>
                  <a:schemeClr val="accent4">
                    <a:lumMod val="75000"/>
                  </a:schemeClr>
                </a:fgClr>
                <a:bgClr>
                  <a:schemeClr val="bg1"/>
                </a:bgClr>
              </a:pattFill>
              <a:ln>
                <a:solidFill>
                  <a:schemeClr val="accent4">
                    <a:lumMod val="75000"/>
                  </a:schemeClr>
                </a:solidFill>
              </a:ln>
              <a:effectLst/>
            </c:spPr>
            <c:extLst>
              <c:ext xmlns:c16="http://schemas.microsoft.com/office/drawing/2014/chart" uri="{C3380CC4-5D6E-409C-BE32-E72D297353CC}">
                <c16:uniqueId val="{00000001-5651-4421-B40E-02D24DF93E08}"/>
              </c:ext>
            </c:extLst>
          </c:dPt>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'\Users\WHO\Downloads\[Uganda_results_20192.xlsx]Diagnostic_Capacity'!$A$71:$A$94</c:f>
              <c:strCache>
                <c:ptCount val="24"/>
                <c:pt idx="0">
                  <c:v>Regional hospital</c:v>
                </c:pt>
                <c:pt idx="1">
                  <c:v>General hopsital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strCache>
            </c:strRef>
          </c:cat>
          <c:val>
            <c:numRef>
              <c:f>'\Users\WHO\Downloads\[Uganda_results_20192.xlsx]Diagnostic_Capacity'!$B$71:$B$94</c:f>
              <c:numCache>
                <c:formatCode>General</c:formatCode>
                <c:ptCount val="24"/>
                <c:pt idx="0">
                  <c:v>92.857140000000001</c:v>
                </c:pt>
                <c:pt idx="1">
                  <c:v>84.722219999999993</c:v>
                </c:pt>
                <c:pt idx="2">
                  <c:v>84.051720000000003</c:v>
                </c:pt>
                <c:pt idx="3">
                  <c:v>72.159090000000006</c:v>
                </c:pt>
                <c:pt idx="4">
                  <c:v>45.28302</c:v>
                </c:pt>
                <c:pt idx="6">
                  <c:v>45.750830000000001</c:v>
                </c:pt>
                <c:pt idx="7">
                  <c:v>63.984650000000002</c:v>
                </c:pt>
                <c:pt idx="9">
                  <c:v>63.306240000000003</c:v>
                </c:pt>
                <c:pt idx="10">
                  <c:v>49.106090000000002</c:v>
                </c:pt>
                <c:pt idx="12">
                  <c:v>55.25</c:v>
                </c:pt>
                <c:pt idx="13">
                  <c:v>47.125</c:v>
                </c:pt>
                <c:pt idx="14">
                  <c:v>63.75</c:v>
                </c:pt>
                <c:pt idx="15">
                  <c:v>56.5</c:v>
                </c:pt>
                <c:pt idx="16">
                  <c:v>51.375</c:v>
                </c:pt>
                <c:pt idx="17">
                  <c:v>52.5</c:v>
                </c:pt>
                <c:pt idx="18">
                  <c:v>64.875</c:v>
                </c:pt>
                <c:pt idx="19">
                  <c:v>37.75</c:v>
                </c:pt>
                <c:pt idx="20">
                  <c:v>50.625</c:v>
                </c:pt>
                <c:pt idx="21">
                  <c:v>50</c:v>
                </c:pt>
                <c:pt idx="23">
                  <c:v>55.231070000000003</c:v>
                </c:pt>
              </c:numCache>
            </c:numRef>
          </c:val>
          <c:extLst>
            <c:ext xmlns:c16="http://schemas.microsoft.com/office/drawing/2014/chart" uri="{C3380CC4-5D6E-409C-BE32-E72D297353CC}">
              <c16:uniqueId val="{00000000-C5E3-4142-B877-24264E48E83C}"/>
            </c:ext>
          </c:extLst>
        </c:ser>
        <c:dLbls>
          <c:showLegendKey val="0"/>
          <c:showVal val="0"/>
          <c:showCatName val="0"/>
          <c:showSerName val="0"/>
          <c:showPercent val="0"/>
          <c:showBubbleSize val="0"/>
        </c:dLbls>
        <c:gapWidth val="30"/>
        <c:overlap val="-27"/>
        <c:axId val="511660080"/>
        <c:axId val="511660472"/>
      </c:barChart>
      <c:catAx>
        <c:axId val="51166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Georgia" panose="02040502050405020303" pitchFamily="18" charset="0"/>
                <a:ea typeface="+mn-ea"/>
                <a:cs typeface="+mn-cs"/>
              </a:defRPr>
            </a:pPr>
            <a:endParaRPr lang="en-US"/>
          </a:p>
        </c:txPr>
        <c:crossAx val="511660472"/>
        <c:crosses val="autoZero"/>
        <c:auto val="1"/>
        <c:lblAlgn val="ctr"/>
        <c:lblOffset val="100"/>
        <c:noMultiLvlLbl val="0"/>
      </c:catAx>
      <c:valAx>
        <c:axId val="511660472"/>
        <c:scaling>
          <c:orientation val="minMax"/>
        </c:scaling>
        <c:delete val="0"/>
        <c:axPos val="l"/>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6600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'Basic obstetric'!$B$5</c:f>
              <c:strCache>
                <c:ptCount val="1"/>
                <c:pt idx="0">
                  <c:v>National</c:v>
                </c:pt>
              </c:strCache>
            </c:strRef>
          </c:tx>
          <c:spPr>
            <a:solidFill>
              <a:schemeClr val="accent5">
                <a:lumMod val="40000"/>
                <a:lumOff val="60000"/>
              </a:schemeClr>
            </a:solidFill>
            <a:ln>
              <a:noFill/>
            </a:ln>
            <a:effectLst/>
          </c:spPr>
          <c:invertIfNegative val="0"/>
          <c:dPt>
            <c:idx val="9"/>
            <c:invertIfNegative val="0"/>
            <c:bubble3D val="0"/>
            <c:spPr>
              <a:solidFill>
                <a:srgbClr val="00B0F0"/>
              </a:solidFill>
              <a:ln>
                <a:noFill/>
              </a:ln>
              <a:effectLst/>
            </c:spPr>
            <c:extLst>
              <c:ext xmlns:c16="http://schemas.microsoft.com/office/drawing/2014/chart" uri="{C3380CC4-5D6E-409C-BE32-E72D297353CC}">
                <c16:uniqueId val="{00000001-62D9-4BE6-8C46-0B5D84A656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'Basic obstetric'!$A$6:$A$15</c:f>
              <c:strCache>
                <c:ptCount val="10"/>
                <c:pt idx="0">
                  <c:v>Assisted Vaginal Delivery</c:v>
                </c:pt>
                <c:pt idx="1">
                  <c:v>Parenteral administration of magnesium sulphate</c:v>
                </c:pt>
                <c:pt idx="2">
                  <c:v>Removal of retained products after delivery</c:v>
                </c:pt>
                <c:pt idx="3">
                  <c:v>Manual removal of placenta</c:v>
                </c:pt>
                <c:pt idx="4">
                  <c:v>Neonatal Resuscitation with bag &amp; mask</c:v>
                </c:pt>
                <c:pt idx="5">
                  <c:v>Parenteral administration of antibiotics </c:v>
                </c:pt>
                <c:pt idx="6">
                  <c:v>Parenteral administration of oxytocin</c:v>
                </c:pt>
                <c:pt idx="8">
                  <c:v>Basic emergency obstetric care (BEmOC)*</c:v>
                </c:pt>
                <c:pt idx="9">
                  <c:v>Delivery/newborn care services offered</c:v>
                </c:pt>
              </c:strCache>
            </c:strRef>
          </c:cat>
          <c:val>
            <c:numRef>
              <c:f>'Basic obstetric'!$B$6:$B$15</c:f>
              <c:numCache>
                <c:formatCode>General</c:formatCode>
                <c:ptCount val="10"/>
                <c:pt idx="0">
                  <c:v>52</c:v>
                </c:pt>
                <c:pt idx="1">
                  <c:v>61</c:v>
                </c:pt>
                <c:pt idx="2">
                  <c:v>76</c:v>
                </c:pt>
                <c:pt idx="3">
                  <c:v>80</c:v>
                </c:pt>
                <c:pt idx="4">
                  <c:v>85</c:v>
                </c:pt>
                <c:pt idx="5">
                  <c:v>91</c:v>
                </c:pt>
                <c:pt idx="6">
                  <c:v>91</c:v>
                </c:pt>
                <c:pt idx="8">
                  <c:v>30</c:v>
                </c:pt>
                <c:pt idx="9">
                  <c:v>53</c:v>
                </c:pt>
              </c:numCache>
            </c:numRef>
          </c:val>
          <c:extLst>
            <c:ext xmlns:c16="http://schemas.microsoft.com/office/drawing/2014/chart" uri="{C3380CC4-5D6E-409C-BE32-E72D297353CC}">
              <c16:uniqueId val="{00000002-62D9-4BE6-8C46-0B5D84A6564C}"/>
            </c:ext>
          </c:extLst>
        </c:ser>
        <c:dLbls>
          <c:showLegendKey val="0"/>
          <c:showVal val="0"/>
          <c:showCatName val="0"/>
          <c:showSerName val="0"/>
          <c:showPercent val="0"/>
          <c:showBubbleSize val="0"/>
        </c:dLbls>
        <c:gapWidth val="62"/>
        <c:axId val="511660864"/>
        <c:axId val="494774296"/>
      </c:barChart>
      <c:catAx>
        <c:axId val="511660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74296"/>
        <c:crosses val="autoZero"/>
        <c:auto val="1"/>
        <c:lblAlgn val="ctr"/>
        <c:lblOffset val="100"/>
        <c:noMultiLvlLbl val="0"/>
      </c:catAx>
      <c:valAx>
        <c:axId val="494774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66086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'[Uganda_results_2019.xlsx]Basic obstetric'!$D$93:$H$93</c:f>
              <c:strCache>
                <c:ptCount val="5"/>
                <c:pt idx="0">
                  <c:v>Administration of Oxytocin injection immediately after birth</c:v>
                </c:pt>
                <c:pt idx="1">
                  <c:v>Monitoring/mgt of Labour with Partograph</c:v>
                </c:pt>
                <c:pt idx="2">
                  <c:v>Immediate &amp; Exclusive breastfeeding</c:v>
                </c:pt>
                <c:pt idx="3">
                  <c:v>Hygenic Cord Care</c:v>
                </c:pt>
                <c:pt idx="4">
                  <c:v>Thermal Protection for baby</c:v>
                </c:pt>
              </c:strCache>
            </c:strRef>
          </c:cat>
          <c:val>
            <c:numRef>
              <c:f>'[Uganda_results_2019.xlsx]Basic obstetric'!$D$117:$H$117</c:f>
              <c:numCache>
                <c:formatCode>General</c:formatCode>
                <c:ptCount val="5"/>
                <c:pt idx="0">
                  <c:v>97</c:v>
                </c:pt>
                <c:pt idx="1">
                  <c:v>84</c:v>
                </c:pt>
                <c:pt idx="2">
                  <c:v>100</c:v>
                </c:pt>
                <c:pt idx="3">
                  <c:v>94</c:v>
                </c:pt>
                <c:pt idx="4">
                  <c:v>98</c:v>
                </c:pt>
              </c:numCache>
            </c:numRef>
          </c:val>
          <c:extLst>
            <c:ext xmlns:c16="http://schemas.microsoft.com/office/drawing/2014/chart" uri="{C3380CC4-5D6E-409C-BE32-E72D297353CC}">
              <c16:uniqueId val="{00000000-B497-4FFF-8B8C-34B65AA5C46A}"/>
            </c:ext>
          </c:extLst>
        </c:ser>
        <c:dLbls>
          <c:showLegendKey val="0"/>
          <c:showVal val="0"/>
          <c:showCatName val="0"/>
          <c:showSerName val="0"/>
          <c:showPercent val="0"/>
          <c:showBubbleSize val="0"/>
        </c:dLbls>
        <c:gapWidth val="62"/>
        <c:axId val="494775080"/>
        <c:axId val="494775472"/>
      </c:barChart>
      <c:catAx>
        <c:axId val="494775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75472"/>
        <c:crosses val="autoZero"/>
        <c:auto val="1"/>
        <c:lblAlgn val="ctr"/>
        <c:lblOffset val="100"/>
        <c:noMultiLvlLbl val="0"/>
      </c:catAx>
      <c:valAx>
        <c:axId val="494775472"/>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7508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'Basic obstetric'!$B$23:$B$24</c:f>
              <c:strCache>
                <c:ptCount val="2"/>
                <c:pt idx="0">
                  <c:v>Delivery/newborn care services offered</c:v>
                </c:pt>
              </c:strCache>
            </c:strRef>
          </c:tx>
          <c:spPr>
            <a:solidFill>
              <a:schemeClr val="accent1"/>
            </a:solidFill>
            <a:ln>
              <a:noFill/>
            </a:ln>
            <a:effectLst/>
          </c:spPr>
          <c:invertIfNegative val="0"/>
          <c:cat>
            <c:strRef>
              <c:f>'Basic obstetric'!$A$25:$A$48</c:f>
              <c:strCache>
                <c:ptCount val="24"/>
                <c:pt idx="0">
                  <c:v>Regional Hospital</c:v>
                </c:pt>
                <c:pt idx="1">
                  <c:v>General Hospital</c:v>
                </c:pt>
                <c:pt idx="2">
                  <c:v>HC IV</c:v>
                </c:pt>
                <c:pt idx="3">
                  <c:v>HC III</c:v>
                </c:pt>
                <c:pt idx="4">
                  <c:v>HC II</c:v>
                </c:pt>
                <c:pt idx="6">
                  <c:v>Public/G</c:v>
                </c:pt>
                <c:pt idx="7">
                  <c:v>Private</c:v>
                </c:pt>
                <c:pt idx="9">
                  <c:v>Urban</c:v>
                </c:pt>
                <c:pt idx="10">
                  <c:v>Rural</c:v>
                </c:pt>
                <c:pt idx="12">
                  <c:v>North East</c:v>
                </c:pt>
                <c:pt idx="13">
                  <c:v>Kampala</c:v>
                </c:pt>
                <c:pt idx="14">
                  <c:v>Central2</c:v>
                </c:pt>
                <c:pt idx="15">
                  <c:v>West Nile</c:v>
                </c:pt>
                <c:pt idx="16">
                  <c:v>South West</c:v>
                </c:pt>
                <c:pt idx="17">
                  <c:v>Mid East</c:v>
                </c:pt>
                <c:pt idx="18">
                  <c:v>Mid-North</c:v>
                </c:pt>
                <c:pt idx="19">
                  <c:v>Central1</c:v>
                </c:pt>
                <c:pt idx="20">
                  <c:v>Karamoja</c:v>
                </c:pt>
                <c:pt idx="21">
                  <c:v>Mid-West</c:v>
                </c:pt>
                <c:pt idx="23">
                  <c:v>Uganda</c:v>
                </c:pt>
              </c:strCache>
            </c:strRef>
          </c:cat>
          <c:val>
            <c:numRef>
              <c:f>'Basic obstetric'!$B$25:$B$48</c:f>
              <c:numCache>
                <c:formatCode>General</c:formatCode>
                <c:ptCount val="24"/>
                <c:pt idx="0">
                  <c:v>100</c:v>
                </c:pt>
                <c:pt idx="1">
                  <c:v>96</c:v>
                </c:pt>
                <c:pt idx="2">
                  <c:v>93</c:v>
                </c:pt>
                <c:pt idx="3">
                  <c:v>82</c:v>
                </c:pt>
                <c:pt idx="4">
                  <c:v>38</c:v>
                </c:pt>
                <c:pt idx="6">
                  <c:v>58</c:v>
                </c:pt>
                <c:pt idx="7">
                  <c:v>48</c:v>
                </c:pt>
                <c:pt idx="9">
                  <c:v>43</c:v>
                </c:pt>
                <c:pt idx="10">
                  <c:v>61</c:v>
                </c:pt>
                <c:pt idx="12">
                  <c:v>33</c:v>
                </c:pt>
                <c:pt idx="13">
                  <c:v>35</c:v>
                </c:pt>
                <c:pt idx="14">
                  <c:v>37</c:v>
                </c:pt>
                <c:pt idx="15">
                  <c:v>44</c:v>
                </c:pt>
                <c:pt idx="16">
                  <c:v>49</c:v>
                </c:pt>
                <c:pt idx="17">
                  <c:v>53</c:v>
                </c:pt>
                <c:pt idx="18">
                  <c:v>64</c:v>
                </c:pt>
                <c:pt idx="19">
                  <c:v>75</c:v>
                </c:pt>
                <c:pt idx="20">
                  <c:v>100</c:v>
                </c:pt>
                <c:pt idx="21">
                  <c:v>100</c:v>
                </c:pt>
                <c:pt idx="23">
                  <c:v>53</c:v>
                </c:pt>
              </c:numCache>
            </c:numRef>
          </c:val>
          <c:extLst>
            <c:ext xmlns:c16="http://schemas.microsoft.com/office/drawing/2014/chart" uri="{C3380CC4-5D6E-409C-BE32-E72D297353CC}">
              <c16:uniqueId val="{00000000-E709-4794-90DC-02C5C1E607E1}"/>
            </c:ext>
          </c:extLst>
        </c:ser>
        <c:dLbls>
          <c:showLegendKey val="0"/>
          <c:showVal val="0"/>
          <c:showCatName val="0"/>
          <c:showSerName val="0"/>
          <c:showPercent val="0"/>
          <c:showBubbleSize val="0"/>
        </c:dLbls>
        <c:gapWidth val="62"/>
        <c:overlap val="-27"/>
        <c:axId val="215286360"/>
        <c:axId val="215286752"/>
      </c:barChart>
      <c:catAx>
        <c:axId val="215286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286752"/>
        <c:crosses val="autoZero"/>
        <c:auto val="1"/>
        <c:lblAlgn val="ctr"/>
        <c:lblOffset val="100"/>
        <c:noMultiLvlLbl val="0"/>
      </c:catAx>
      <c:valAx>
        <c:axId val="21528675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28636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'Basic obstetric'!$B$276:$AA$276</c:f>
              <c:strCache>
                <c:ptCount val="26"/>
                <c:pt idx="0">
                  <c:v>Incubator</c:v>
                </c:pt>
                <c:pt idx="1">
                  <c:v>Electric suction pump</c:v>
                </c:pt>
                <c:pt idx="2">
                  <c:v>Suction catheter for suctioning new born</c:v>
                </c:pt>
                <c:pt idx="3">
                  <c:v>Mutual vacuum extractor</c:v>
                </c:pt>
                <c:pt idx="4">
                  <c:v>Vacuum aspirator of D&amp;C kit</c:v>
                </c:pt>
                <c:pt idx="5">
                  <c:v>Suction bulb, single use</c:v>
                </c:pt>
                <c:pt idx="6">
                  <c:v>Cord clamp</c:v>
                </c:pt>
                <c:pt idx="7">
                  <c:v>Examination light</c:v>
                </c:pt>
                <c:pt idx="8">
                  <c:v>Resuscitation table (with heat source) </c:v>
                </c:pt>
                <c:pt idx="9">
                  <c:v>Delivery pack</c:v>
                </c:pt>
                <c:pt idx="10">
                  <c:v>Newborn bag and mask size 0 for pre-term babies</c:v>
                </c:pt>
                <c:pt idx="11">
                  <c:v>Suction bulb, sterilizable multi-use</c:v>
                </c:pt>
                <c:pt idx="12">
                  <c:v>Newborn bag and mask size 1 for term babies</c:v>
                </c:pt>
                <c:pt idx="13">
                  <c:v>Episiotomy scissors</c:v>
                </c:pt>
                <c:pt idx="14">
                  <c:v>Scissors to cut cord</c:v>
                </c:pt>
                <c:pt idx="15">
                  <c:v>Needle holder</c:v>
                </c:pt>
                <c:pt idx="16">
                  <c:v>Blood pressure apparatus</c:v>
                </c:pt>
                <c:pt idx="17">
                  <c:v>Delivery bed</c:v>
                </c:pt>
                <c:pt idx="18">
                  <c:v>Infant weighing scale</c:v>
                </c:pt>
                <c:pt idx="19">
                  <c:v>Speculum</c:v>
                </c:pt>
                <c:pt idx="20">
                  <c:v>Suture material with needle</c:v>
                </c:pt>
                <c:pt idx="21">
                  <c:v>Surgical latex gloves</c:v>
                </c:pt>
                <c:pt idx="22">
                  <c:v>Blank partograph</c:v>
                </c:pt>
                <c:pt idx="23">
                  <c:v>Clean running water</c:v>
                </c:pt>
                <c:pt idx="24">
                  <c:v>Hand washing soap</c:v>
                </c:pt>
                <c:pt idx="25">
                  <c:v>Alcohol based hand rub</c:v>
                </c:pt>
              </c:strCache>
            </c:strRef>
          </c:cat>
          <c:val>
            <c:numRef>
              <c:f>'Basic obstetric'!$B$277:$AA$277</c:f>
              <c:numCache>
                <c:formatCode>General</c:formatCode>
                <c:ptCount val="26"/>
                <c:pt idx="0">
                  <c:v>19</c:v>
                </c:pt>
                <c:pt idx="1">
                  <c:v>19</c:v>
                </c:pt>
                <c:pt idx="2">
                  <c:v>27</c:v>
                </c:pt>
                <c:pt idx="3">
                  <c:v>29</c:v>
                </c:pt>
                <c:pt idx="4">
                  <c:v>33</c:v>
                </c:pt>
                <c:pt idx="5">
                  <c:v>34</c:v>
                </c:pt>
                <c:pt idx="6">
                  <c:v>43</c:v>
                </c:pt>
                <c:pt idx="7">
                  <c:v>45</c:v>
                </c:pt>
                <c:pt idx="8">
                  <c:v>61</c:v>
                </c:pt>
                <c:pt idx="9">
                  <c:v>62</c:v>
                </c:pt>
                <c:pt idx="10">
                  <c:v>63</c:v>
                </c:pt>
                <c:pt idx="11">
                  <c:v>63</c:v>
                </c:pt>
                <c:pt idx="12">
                  <c:v>68</c:v>
                </c:pt>
                <c:pt idx="13">
                  <c:v>71</c:v>
                </c:pt>
                <c:pt idx="14">
                  <c:v>75</c:v>
                </c:pt>
                <c:pt idx="15">
                  <c:v>77</c:v>
                </c:pt>
                <c:pt idx="16">
                  <c:v>78</c:v>
                </c:pt>
                <c:pt idx="17">
                  <c:v>82</c:v>
                </c:pt>
                <c:pt idx="18">
                  <c:v>87</c:v>
                </c:pt>
                <c:pt idx="19">
                  <c:v>90</c:v>
                </c:pt>
                <c:pt idx="20">
                  <c:v>100</c:v>
                </c:pt>
                <c:pt idx="21">
                  <c:v>100</c:v>
                </c:pt>
                <c:pt idx="22">
                  <c:v>100</c:v>
                </c:pt>
                <c:pt idx="23">
                  <c:v>100</c:v>
                </c:pt>
                <c:pt idx="24">
                  <c:v>100</c:v>
                </c:pt>
                <c:pt idx="25">
                  <c:v>100</c:v>
                </c:pt>
              </c:numCache>
            </c:numRef>
          </c:val>
          <c:extLst>
            <c:ext xmlns:c16="http://schemas.microsoft.com/office/drawing/2014/chart" uri="{C3380CC4-5D6E-409C-BE32-E72D297353CC}">
              <c16:uniqueId val="{00000000-3E54-4A0C-B45A-B130D82CAF13}"/>
            </c:ext>
          </c:extLst>
        </c:ser>
        <c:dLbls>
          <c:showLegendKey val="0"/>
          <c:showVal val="0"/>
          <c:showCatName val="0"/>
          <c:showSerName val="0"/>
          <c:showPercent val="0"/>
          <c:showBubbleSize val="0"/>
        </c:dLbls>
        <c:gapWidth val="62"/>
        <c:axId val="215287144"/>
        <c:axId val="468632776"/>
      </c:barChart>
      <c:catAx>
        <c:axId val="215287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632776"/>
        <c:crosses val="autoZero"/>
        <c:auto val="1"/>
        <c:lblAlgn val="ctr"/>
        <c:lblOffset val="100"/>
        <c:noMultiLvlLbl val="0"/>
      </c:catAx>
      <c:valAx>
        <c:axId val="468632776"/>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28714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FFC000"/>
            </a:solidFill>
            <a:ln>
              <a:noFill/>
            </a:ln>
            <a:effectLst/>
          </c:spPr>
          <c:invertIfNegative val="0"/>
          <c:dPt>
            <c:idx val="23"/>
            <c:invertIfNegative val="0"/>
            <c:bubble3D val="0"/>
            <c:spPr>
              <a:pattFill prst="wdDnDiag">
                <a:fgClr>
                  <a:srgbClr val="FFC000"/>
                </a:fgClr>
                <a:bgClr>
                  <a:schemeClr val="bg1"/>
                </a:bgClr>
              </a:pattFill>
              <a:ln>
                <a:solidFill>
                  <a:schemeClr val="accent1"/>
                </a:solidFill>
              </a:ln>
              <a:effectLst/>
            </c:spPr>
            <c:extLst>
              <c:ext xmlns:c16="http://schemas.microsoft.com/office/drawing/2014/chart" uri="{C3380CC4-5D6E-409C-BE32-E72D297353CC}">
                <c16:uniqueId val="{00000001-6E7F-4202-B51C-78280DFCFC69}"/>
              </c:ext>
            </c:extLst>
          </c:dPt>
          <c:cat>
            <c:multiLvlStrRef>
              <c:f>'Comp Obstetric'!$A$28:$B$51</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West Nile</c:v>
                  </c:pt>
                  <c:pt idx="13">
                    <c:v>Central2</c:v>
                  </c:pt>
                  <c:pt idx="14">
                    <c:v>Mid East</c:v>
                  </c:pt>
                  <c:pt idx="15">
                    <c:v>Mid-West</c:v>
                  </c:pt>
                  <c:pt idx="16">
                    <c:v>Central1</c:v>
                  </c:pt>
                  <c:pt idx="17">
                    <c:v>Karamoja</c:v>
                  </c:pt>
                  <c:pt idx="18">
                    <c:v>South West</c:v>
                  </c:pt>
                  <c:pt idx="19">
                    <c:v>Mid-North</c:v>
                  </c:pt>
                  <c:pt idx="20">
                    <c:v>Kampala</c:v>
                  </c:pt>
                  <c:pt idx="21">
                    <c:v>North East</c:v>
                  </c:pt>
                  <c:pt idx="23">
                    <c:v>National</c:v>
                  </c:pt>
                </c:lvl>
                <c:lvl>
                  <c:pt idx="0">
                    <c:v>Facility Level</c:v>
                  </c:pt>
                  <c:pt idx="6">
                    <c:v>Ownership</c:v>
                  </c:pt>
                  <c:pt idx="9">
                    <c:v> Location</c:v>
                  </c:pt>
                  <c:pt idx="12">
                    <c:v>Health Region</c:v>
                  </c:pt>
                  <c:pt idx="23">
                    <c:v>Uganda</c:v>
                  </c:pt>
                </c:lvl>
              </c:multiLvlStrCache>
            </c:multiLvlStrRef>
          </c:cat>
          <c:val>
            <c:numRef>
              <c:f>'Comp Obstetric'!$C$28:$C$51</c:f>
              <c:numCache>
                <c:formatCode>0</c:formatCode>
                <c:ptCount val="24"/>
                <c:pt idx="0">
                  <c:v>76.923076923076934</c:v>
                </c:pt>
                <c:pt idx="1">
                  <c:v>47.826086956521742</c:v>
                </c:pt>
                <c:pt idx="2">
                  <c:v>10</c:v>
                </c:pt>
                <c:pt idx="3">
                  <c:v>4.6511627906976747</c:v>
                </c:pt>
                <c:pt idx="4">
                  <c:v>1.7241379310344827</c:v>
                </c:pt>
                <c:pt idx="6">
                  <c:v>17.20430107526882</c:v>
                </c:pt>
                <c:pt idx="7">
                  <c:v>14.864864864864865</c:v>
                </c:pt>
                <c:pt idx="9">
                  <c:v>26.582278481012654</c:v>
                </c:pt>
                <c:pt idx="10">
                  <c:v>6.8181818181818175</c:v>
                </c:pt>
                <c:pt idx="12">
                  <c:v>7.6923076923076925</c:v>
                </c:pt>
                <c:pt idx="13">
                  <c:v>9.0909090909090917</c:v>
                </c:pt>
                <c:pt idx="14">
                  <c:v>10</c:v>
                </c:pt>
                <c:pt idx="15">
                  <c:v>11.111111111111111</c:v>
                </c:pt>
                <c:pt idx="16">
                  <c:v>16</c:v>
                </c:pt>
                <c:pt idx="17">
                  <c:v>16.666666666666664</c:v>
                </c:pt>
                <c:pt idx="18">
                  <c:v>16.666666666666664</c:v>
                </c:pt>
                <c:pt idx="19">
                  <c:v>17.647058823529413</c:v>
                </c:pt>
                <c:pt idx="20">
                  <c:v>20.588235294117645</c:v>
                </c:pt>
                <c:pt idx="21">
                  <c:v>37.5</c:v>
                </c:pt>
                <c:pt idx="23">
                  <c:v>16</c:v>
                </c:pt>
              </c:numCache>
            </c:numRef>
          </c:val>
          <c:extLst>
            <c:ext xmlns:c16="http://schemas.microsoft.com/office/drawing/2014/chart" uri="{C3380CC4-5D6E-409C-BE32-E72D297353CC}">
              <c16:uniqueId val="{00000002-6E7F-4202-B51C-78280DFCFC69}"/>
            </c:ext>
          </c:extLst>
        </c:ser>
        <c:dLbls>
          <c:showLegendKey val="0"/>
          <c:showVal val="0"/>
          <c:showCatName val="0"/>
          <c:showSerName val="0"/>
          <c:showPercent val="0"/>
          <c:showBubbleSize val="0"/>
        </c:dLbls>
        <c:gapWidth val="62"/>
        <c:overlap val="-27"/>
        <c:axId val="468633952"/>
        <c:axId val="468634344"/>
      </c:barChart>
      <c:catAx>
        <c:axId val="468633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634344"/>
        <c:crosses val="autoZero"/>
        <c:auto val="1"/>
        <c:lblAlgn val="ctr"/>
        <c:lblOffset val="100"/>
        <c:noMultiLvlLbl val="0"/>
      </c:catAx>
      <c:valAx>
        <c:axId val="468634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63395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FFC000"/>
            </a:solidFill>
            <a:ln>
              <a:noFill/>
            </a:ln>
            <a:effectLst/>
          </c:spPr>
          <c:invertIfNegative val="0"/>
          <c:dPt>
            <c:idx val="23"/>
            <c:invertIfNegative val="0"/>
            <c:bubble3D val="0"/>
            <c:spPr>
              <a:pattFill prst="wdDnDiag">
                <a:fgClr>
                  <a:srgbClr val="FFC000"/>
                </a:fgClr>
                <a:bgClr>
                  <a:schemeClr val="bg1"/>
                </a:bgClr>
              </a:pattFill>
              <a:ln>
                <a:solidFill>
                  <a:schemeClr val="accent1"/>
                </a:solidFill>
              </a:ln>
              <a:effectLst/>
            </c:spPr>
            <c:extLst>
              <c:ext xmlns:c16="http://schemas.microsoft.com/office/drawing/2014/chart" uri="{C3380CC4-5D6E-409C-BE32-E72D297353CC}">
                <c16:uniqueId val="{00000001-DF91-438D-A091-3639D0E9062B}"/>
              </c:ext>
            </c:extLst>
          </c:dPt>
          <c:cat>
            <c:multiLvlStrRef>
              <c:f>'C-Section'!$A$3:$B$26</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Karamoja</c:v>
                  </c:pt>
                  <c:pt idx="13">
                    <c:v>West Nile</c:v>
                  </c:pt>
                  <c:pt idx="14">
                    <c:v>Mid-West</c:v>
                  </c:pt>
                  <c:pt idx="15">
                    <c:v>Central2</c:v>
                  </c:pt>
                  <c:pt idx="16">
                    <c:v>Mid-North</c:v>
                  </c:pt>
                  <c:pt idx="17">
                    <c:v>Mid East</c:v>
                  </c:pt>
                  <c:pt idx="18">
                    <c:v>North East</c:v>
                  </c:pt>
                  <c:pt idx="19">
                    <c:v>Kampala</c:v>
                  </c:pt>
                  <c:pt idx="20">
                    <c:v>South West</c:v>
                  </c:pt>
                  <c:pt idx="21">
                    <c:v>Central1</c:v>
                  </c:pt>
                  <c:pt idx="23">
                    <c:v>National</c:v>
                  </c:pt>
                </c:lvl>
                <c:lvl>
                  <c:pt idx="0">
                    <c:v>Facility Level</c:v>
                  </c:pt>
                  <c:pt idx="6">
                    <c:v>Ownership</c:v>
                  </c:pt>
                  <c:pt idx="9">
                    <c:v>Location</c:v>
                  </c:pt>
                  <c:pt idx="12">
                    <c:v>Health Region</c:v>
                  </c:pt>
                  <c:pt idx="23">
                    <c:v>Uganda</c:v>
                  </c:pt>
                </c:lvl>
              </c:multiLvlStrCache>
            </c:multiLvlStrRef>
          </c:cat>
          <c:val>
            <c:numRef>
              <c:f>'C-Section'!$C$3:$C$26</c:f>
              <c:numCache>
                <c:formatCode>General</c:formatCode>
                <c:ptCount val="24"/>
                <c:pt idx="0">
                  <c:v>93</c:v>
                </c:pt>
                <c:pt idx="1">
                  <c:v>88</c:v>
                </c:pt>
                <c:pt idx="2">
                  <c:v>35</c:v>
                </c:pt>
                <c:pt idx="3">
                  <c:v>22</c:v>
                </c:pt>
                <c:pt idx="4">
                  <c:v>20</c:v>
                </c:pt>
                <c:pt idx="6">
                  <c:v>20</c:v>
                </c:pt>
                <c:pt idx="7">
                  <c:v>32</c:v>
                </c:pt>
                <c:pt idx="9">
                  <c:v>42</c:v>
                </c:pt>
                <c:pt idx="10">
                  <c:v>17</c:v>
                </c:pt>
                <c:pt idx="12">
                  <c:v>1</c:v>
                </c:pt>
                <c:pt idx="13">
                  <c:v>6</c:v>
                </c:pt>
                <c:pt idx="14">
                  <c:v>7</c:v>
                </c:pt>
                <c:pt idx="15">
                  <c:v>8</c:v>
                </c:pt>
                <c:pt idx="16">
                  <c:v>8</c:v>
                </c:pt>
                <c:pt idx="17">
                  <c:v>21</c:v>
                </c:pt>
                <c:pt idx="18">
                  <c:v>21</c:v>
                </c:pt>
                <c:pt idx="19">
                  <c:v>38</c:v>
                </c:pt>
                <c:pt idx="20">
                  <c:v>43</c:v>
                </c:pt>
                <c:pt idx="21">
                  <c:v>48</c:v>
                </c:pt>
                <c:pt idx="23">
                  <c:v>26</c:v>
                </c:pt>
              </c:numCache>
            </c:numRef>
          </c:val>
          <c:extLst>
            <c:ext xmlns:c16="http://schemas.microsoft.com/office/drawing/2014/chart" uri="{C3380CC4-5D6E-409C-BE32-E72D297353CC}">
              <c16:uniqueId val="{00000002-DF91-438D-A091-3639D0E9062B}"/>
            </c:ext>
          </c:extLst>
        </c:ser>
        <c:dLbls>
          <c:showLegendKey val="0"/>
          <c:showVal val="0"/>
          <c:showCatName val="0"/>
          <c:showSerName val="0"/>
          <c:showPercent val="0"/>
          <c:showBubbleSize val="0"/>
        </c:dLbls>
        <c:gapWidth val="62"/>
        <c:overlap val="-27"/>
        <c:axId val="313179048"/>
        <c:axId val="313179440"/>
      </c:barChart>
      <c:catAx>
        <c:axId val="313179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179440"/>
        <c:crosses val="autoZero"/>
        <c:auto val="1"/>
        <c:lblAlgn val="ctr"/>
        <c:lblOffset val="100"/>
        <c:noMultiLvlLbl val="0"/>
      </c:catAx>
      <c:valAx>
        <c:axId val="313179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17904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'[Uganda_results_2019.xlsx]Essential medicines'!$B$113</c:f>
              <c:strCache>
                <c:ptCount val="1"/>
                <c:pt idx="0">
                  <c:v>National</c:v>
                </c:pt>
              </c:strCache>
            </c:strRef>
          </c:tx>
          <c:spPr>
            <a:solidFill>
              <a:schemeClr val="accent1">
                <a:lumMod val="60000"/>
                <a:lumOff val="40000"/>
              </a:schemeClr>
            </a:solidFill>
            <a:ln>
              <a:solidFill>
                <a:schemeClr val="accent1">
                  <a:lumMod val="60000"/>
                  <a:lumOff val="40000"/>
                </a:schemeClr>
              </a:solidFill>
            </a:ln>
            <a:effectLst/>
          </c:spPr>
          <c:invertIfNegative val="0"/>
          <c:dPt>
            <c:idx val="26"/>
            <c:invertIfNegative val="0"/>
            <c:bubble3D val="0"/>
            <c:spPr>
              <a:pattFill prst="wdDnDiag">
                <a:fgClr>
                  <a:srgbClr val="000099"/>
                </a:fgClr>
                <a:bgClr>
                  <a:schemeClr val="bg1"/>
                </a:bgClr>
              </a:pattFill>
              <a:ln>
                <a:solidFill>
                  <a:srgbClr val="000099"/>
                </a:solidFill>
              </a:ln>
              <a:effectLst/>
            </c:spPr>
            <c:extLst>
              <c:ext xmlns:c16="http://schemas.microsoft.com/office/drawing/2014/chart" uri="{C3380CC4-5D6E-409C-BE32-E72D297353CC}">
                <c16:uniqueId val="{00000002-3790-4132-A4A5-021C34457DC9}"/>
              </c:ext>
            </c:extLst>
          </c:dPt>
          <c:dPt>
            <c:idx val="27"/>
            <c:invertIfNegative val="0"/>
            <c:bubble3D val="0"/>
            <c:spPr>
              <a:pattFill prst="wdDnDiag">
                <a:fgClr>
                  <a:srgbClr val="000099"/>
                </a:fgClr>
                <a:bgClr>
                  <a:schemeClr val="bg1"/>
                </a:bgClr>
              </a:pattFill>
              <a:ln>
                <a:solidFill>
                  <a:srgbClr val="000099"/>
                </a:solidFill>
              </a:ln>
              <a:effectLst/>
            </c:spPr>
            <c:extLst>
              <c:ext xmlns:c16="http://schemas.microsoft.com/office/drawing/2014/chart" uri="{C3380CC4-5D6E-409C-BE32-E72D297353CC}">
                <c16:uniqueId val="{00000001-3790-4132-A4A5-021C34457D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'[Uganda_results_2019.xlsx]Essential medicines'!$A$114:$A$141</c:f>
              <c:strCache>
                <c:ptCount val="28"/>
                <c:pt idx="0">
                  <c:v>Simvastatin cap/tab</c:v>
                </c:pt>
                <c:pt idx="1">
                  <c:v> Beclometasone inhaler</c:v>
                </c:pt>
                <c:pt idx="2">
                  <c:v>Insulin regular injection</c:v>
                </c:pt>
                <c:pt idx="3">
                  <c:v>Salbutamol inhaler</c:v>
                </c:pt>
                <c:pt idx="4">
                  <c:v>A Thiazide diuretic</c:v>
                </c:pt>
                <c:pt idx="5">
                  <c:v>An ACE Inhibitor</c:v>
                </c:pt>
                <c:pt idx="6">
                  <c:v>Glibenclamide 5mg tab/cap</c:v>
                </c:pt>
                <c:pt idx="7">
                  <c:v> Aspirin cap/tab</c:v>
                </c:pt>
                <c:pt idx="8">
                  <c:v>Fluoxetine tablet </c:v>
                </c:pt>
                <c:pt idx="9">
                  <c:v>A beta blocker</c:v>
                </c:pt>
                <c:pt idx="10">
                  <c:v> Haloperidol tablet</c:v>
                </c:pt>
                <c:pt idx="11">
                  <c:v>Metformin cap/tab </c:v>
                </c:pt>
                <c:pt idx="12">
                  <c:v>Magnesium sulphate injectable</c:v>
                </c:pt>
                <c:pt idx="13">
                  <c:v>A calcium channel blocker</c:v>
                </c:pt>
                <c:pt idx="14">
                  <c:v>Omeprazole 20 mg cap/tab</c:v>
                </c:pt>
                <c:pt idx="15">
                  <c:v>Ampicillin powder  for injection</c:v>
                </c:pt>
                <c:pt idx="16">
                  <c:v>Diazepam injectable</c:v>
                </c:pt>
                <c:pt idx="17">
                  <c:v>Oxytocin injection </c:v>
                </c:pt>
                <c:pt idx="18">
                  <c:v>Amoxicillin 250mg or 500mg dispersible tab or syrup/suspension </c:v>
                </c:pt>
                <c:pt idx="19">
                  <c:v> Ceftriaxone injection</c:v>
                </c:pt>
                <c:pt idx="20">
                  <c:v>Gentamicin injection</c:v>
                </c:pt>
                <c:pt idx="21">
                  <c:v>Carbamazepine tablet</c:v>
                </c:pt>
                <c:pt idx="22">
                  <c:v>Amoxicillin cap/tab</c:v>
                </c:pt>
                <c:pt idx="23">
                  <c:v>Zinc sulphate (tab/syrup/dispersible)</c:v>
                </c:pt>
                <c:pt idx="24">
                  <c:v>ORS sachets</c:v>
                </c:pt>
                <c:pt idx="26">
                  <c:v>Percent of facilities with all items of essential medicines</c:v>
                </c:pt>
                <c:pt idx="27">
                  <c:v>Mean availability </c:v>
                </c:pt>
              </c:strCache>
            </c:strRef>
          </c:cat>
          <c:val>
            <c:numRef>
              <c:f>'[Uganda_results_2019.xlsx]Essential medicines'!$B$114:$B$141</c:f>
              <c:numCache>
                <c:formatCode>General</c:formatCode>
                <c:ptCount val="28"/>
                <c:pt idx="0">
                  <c:v>8</c:v>
                </c:pt>
                <c:pt idx="1">
                  <c:v>11</c:v>
                </c:pt>
                <c:pt idx="2">
                  <c:v>15</c:v>
                </c:pt>
                <c:pt idx="3">
                  <c:v>18</c:v>
                </c:pt>
                <c:pt idx="4">
                  <c:v>18</c:v>
                </c:pt>
                <c:pt idx="5">
                  <c:v>20</c:v>
                </c:pt>
                <c:pt idx="6">
                  <c:v>23</c:v>
                </c:pt>
                <c:pt idx="7">
                  <c:v>25</c:v>
                </c:pt>
                <c:pt idx="8">
                  <c:v>26</c:v>
                </c:pt>
                <c:pt idx="9">
                  <c:v>27</c:v>
                </c:pt>
                <c:pt idx="10">
                  <c:v>27</c:v>
                </c:pt>
                <c:pt idx="11">
                  <c:v>29</c:v>
                </c:pt>
                <c:pt idx="12">
                  <c:v>31</c:v>
                </c:pt>
                <c:pt idx="13">
                  <c:v>38</c:v>
                </c:pt>
                <c:pt idx="14">
                  <c:v>40</c:v>
                </c:pt>
                <c:pt idx="15">
                  <c:v>45</c:v>
                </c:pt>
                <c:pt idx="16">
                  <c:v>48</c:v>
                </c:pt>
                <c:pt idx="17">
                  <c:v>50</c:v>
                </c:pt>
                <c:pt idx="18">
                  <c:v>53</c:v>
                </c:pt>
                <c:pt idx="19">
                  <c:v>53</c:v>
                </c:pt>
                <c:pt idx="20">
                  <c:v>58</c:v>
                </c:pt>
                <c:pt idx="21">
                  <c:v>65</c:v>
                </c:pt>
                <c:pt idx="22">
                  <c:v>79</c:v>
                </c:pt>
                <c:pt idx="23">
                  <c:v>79</c:v>
                </c:pt>
                <c:pt idx="24">
                  <c:v>86</c:v>
                </c:pt>
                <c:pt idx="26">
                  <c:v>1</c:v>
                </c:pt>
                <c:pt idx="27" formatCode="0">
                  <c:v>32.180239999999998</c:v>
                </c:pt>
              </c:numCache>
            </c:numRef>
          </c:val>
          <c:extLst>
            <c:ext xmlns:c16="http://schemas.microsoft.com/office/drawing/2014/chart" uri="{C3380CC4-5D6E-409C-BE32-E72D297353CC}">
              <c16:uniqueId val="{00000000-3790-4132-A4A5-021C34457DC9}"/>
            </c:ext>
          </c:extLst>
        </c:ser>
        <c:dLbls>
          <c:dLblPos val="outEnd"/>
          <c:showLegendKey val="0"/>
          <c:showVal val="1"/>
          <c:showCatName val="0"/>
          <c:showSerName val="0"/>
          <c:showPercent val="0"/>
          <c:showBubbleSize val="0"/>
        </c:dLbls>
        <c:gapWidth val="33"/>
        <c:axId val="313179832"/>
        <c:axId val="313180224"/>
      </c:barChart>
      <c:catAx>
        <c:axId val="3131798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313180224"/>
        <c:crosses val="autoZero"/>
        <c:auto val="1"/>
        <c:lblAlgn val="ctr"/>
        <c:lblOffset val="100"/>
        <c:noMultiLvlLbl val="0"/>
      </c:catAx>
      <c:valAx>
        <c:axId val="313180224"/>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availability</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179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'Essential medicines'!$B$146</c:f>
              <c:strCache>
                <c:ptCount val="1"/>
                <c:pt idx="0">
                  <c:v>Mean availability </c:v>
                </c:pt>
              </c:strCache>
            </c:strRef>
          </c:tx>
          <c:spPr>
            <a:solidFill>
              <a:srgbClr val="000099"/>
            </a:solidFill>
            <a:ln>
              <a:noFill/>
            </a:ln>
            <a:effectLst/>
          </c:spPr>
          <c:invertIfNegative val="0"/>
          <c:dPt>
            <c:idx val="23"/>
            <c:invertIfNegative val="0"/>
            <c:bubble3D val="0"/>
            <c:spPr>
              <a:pattFill prst="wdDnDiag">
                <a:fgClr>
                  <a:srgbClr val="000099"/>
                </a:fgClr>
                <a:bgClr>
                  <a:schemeClr val="bg1"/>
                </a:bgClr>
              </a:pattFill>
              <a:ln>
                <a:solidFill>
                  <a:schemeClr val="accent1"/>
                </a:solidFill>
              </a:ln>
              <a:effectLst/>
            </c:spPr>
            <c:extLst>
              <c:ext xmlns:c16="http://schemas.microsoft.com/office/drawing/2014/chart" uri="{C3380CC4-5D6E-409C-BE32-E72D297353CC}">
                <c16:uniqueId val="{00000001-829A-45A2-A2AB-62DC59F7EB2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'Essential medicines'!$A$147:$A$170</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strCache>
            </c:strRef>
          </c:cat>
          <c:val>
            <c:numRef>
              <c:f>'Essential medicines'!$B$147:$B$170</c:f>
              <c:numCache>
                <c:formatCode>0</c:formatCode>
                <c:ptCount val="24"/>
                <c:pt idx="0">
                  <c:v>61.714289999999998</c:v>
                </c:pt>
                <c:pt idx="1">
                  <c:v>62.074069999999999</c:v>
                </c:pt>
                <c:pt idx="2">
                  <c:v>49.103450000000002</c:v>
                </c:pt>
                <c:pt idx="3">
                  <c:v>38.454549999999998</c:v>
                </c:pt>
                <c:pt idx="4">
                  <c:v>27.169809999999998</c:v>
                </c:pt>
                <c:pt idx="6">
                  <c:v>22.838059999999999</c:v>
                </c:pt>
                <c:pt idx="7">
                  <c:v>40.806350000000002</c:v>
                </c:pt>
                <c:pt idx="9">
                  <c:v>38.533029999999997</c:v>
                </c:pt>
                <c:pt idx="10">
                  <c:v>27.36167</c:v>
                </c:pt>
                <c:pt idx="12">
                  <c:v>38.840000000000003</c:v>
                </c:pt>
                <c:pt idx="13">
                  <c:v>37.68</c:v>
                </c:pt>
                <c:pt idx="14">
                  <c:v>47.4</c:v>
                </c:pt>
                <c:pt idx="15">
                  <c:v>25.12</c:v>
                </c:pt>
                <c:pt idx="16">
                  <c:v>29.04</c:v>
                </c:pt>
                <c:pt idx="17">
                  <c:v>37.44</c:v>
                </c:pt>
                <c:pt idx="18">
                  <c:v>49.04</c:v>
                </c:pt>
                <c:pt idx="19">
                  <c:v>39.08</c:v>
                </c:pt>
                <c:pt idx="20">
                  <c:v>37.159999999999997</c:v>
                </c:pt>
                <c:pt idx="21">
                  <c:v>32.799999999999997</c:v>
                </c:pt>
                <c:pt idx="23">
                  <c:v>32.180239999999998</c:v>
                </c:pt>
              </c:numCache>
            </c:numRef>
          </c:val>
          <c:extLst>
            <c:ext xmlns:c16="http://schemas.microsoft.com/office/drawing/2014/chart" uri="{C3380CC4-5D6E-409C-BE32-E72D297353CC}">
              <c16:uniqueId val="{00000000-C711-4C59-8C12-E12BED00FFA7}"/>
            </c:ext>
          </c:extLst>
        </c:ser>
        <c:dLbls>
          <c:showLegendKey val="0"/>
          <c:showVal val="0"/>
          <c:showCatName val="0"/>
          <c:showSerName val="0"/>
          <c:showPercent val="0"/>
          <c:showBubbleSize val="0"/>
        </c:dLbls>
        <c:gapWidth val="33"/>
        <c:overlap val="-27"/>
        <c:axId val="284240280"/>
        <c:axId val="284240672"/>
      </c:barChart>
      <c:catAx>
        <c:axId val="284240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284240672"/>
        <c:crosses val="autoZero"/>
        <c:auto val="1"/>
        <c:lblAlgn val="ctr"/>
        <c:lblOffset val="100"/>
        <c:noMultiLvlLbl val="0"/>
      </c:catAx>
      <c:valAx>
        <c:axId val="284240672"/>
        <c:scaling>
          <c:orientation val="minMax"/>
          <c:max val="100"/>
        </c:scaling>
        <c:delete val="0"/>
        <c:axPos val="l"/>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284240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'Essential medicines'!$B$175</c:f>
              <c:strCache>
                <c:ptCount val="1"/>
                <c:pt idx="0">
                  <c:v>National</c:v>
                </c:pt>
              </c:strCache>
            </c:strRef>
          </c:tx>
          <c:spPr>
            <a:solidFill>
              <a:schemeClr val="accent6"/>
            </a:solidFill>
            <a:ln>
              <a:solidFill>
                <a:schemeClr val="accent6"/>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Georgia" panose="02040502050405020303"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'Essential medicines'!$A$176:$A$186</c:f>
              <c:strCache>
                <c:ptCount val="11"/>
                <c:pt idx="0">
                  <c:v>Medicines for infectious illnesses</c:v>
                </c:pt>
                <c:pt idx="1">
                  <c:v>Medicines for children</c:v>
                </c:pt>
                <c:pt idx="2">
                  <c:v>Anti-malaria drugs</c:v>
                </c:pt>
                <c:pt idx="3">
                  <c:v>Medicines for mothers</c:v>
                </c:pt>
                <c:pt idx="4">
                  <c:v>Reproductive health medicines</c:v>
                </c:pt>
                <c:pt idx="5">
                  <c:v>NCD medicines</c:v>
                </c:pt>
                <c:pt idx="6">
                  <c:v>Antiretroviral drugs</c:v>
                </c:pt>
                <c:pt idx="7">
                  <c:v>Anti-TB drugs</c:v>
                </c:pt>
                <c:pt idx="8">
                  <c:v>Medicines for caesarean section</c:v>
                </c:pt>
                <c:pt idx="9">
                  <c:v>Mental and neurological health medicines</c:v>
                </c:pt>
                <c:pt idx="10">
                  <c:v>Palliative care medicines</c:v>
                </c:pt>
              </c:strCache>
            </c:strRef>
          </c:cat>
          <c:val>
            <c:numRef>
              <c:f>'Essential medicines'!$B$176:$B$186</c:f>
              <c:numCache>
                <c:formatCode>0</c:formatCode>
                <c:ptCount val="11"/>
                <c:pt idx="0">
                  <c:v>64.464110000000005</c:v>
                </c:pt>
                <c:pt idx="1">
                  <c:v>55.636369999999999</c:v>
                </c:pt>
                <c:pt idx="2">
                  <c:v>37.981259999999999</c:v>
                </c:pt>
                <c:pt idx="3">
                  <c:v>37.528570000000002</c:v>
                </c:pt>
                <c:pt idx="4">
                  <c:v>37.324069999999999</c:v>
                </c:pt>
                <c:pt idx="5">
                  <c:v>25.279720000000001</c:v>
                </c:pt>
                <c:pt idx="6">
                  <c:v>17.608779999999999</c:v>
                </c:pt>
                <c:pt idx="7">
                  <c:v>17.158519999999999</c:v>
                </c:pt>
                <c:pt idx="8">
                  <c:v>9.8421140000000005</c:v>
                </c:pt>
                <c:pt idx="9">
                  <c:v>9.8421140000000005</c:v>
                </c:pt>
                <c:pt idx="10">
                  <c:v>4.2629419999999998</c:v>
                </c:pt>
              </c:numCache>
            </c:numRef>
          </c:val>
          <c:extLst>
            <c:ext xmlns:c16="http://schemas.microsoft.com/office/drawing/2014/chart" uri="{C3380CC4-5D6E-409C-BE32-E72D297353CC}">
              <c16:uniqueId val="{00000000-3A6A-41D5-8AFD-9B5866CA2782}"/>
            </c:ext>
          </c:extLst>
        </c:ser>
        <c:dLbls>
          <c:showLegendKey val="0"/>
          <c:showVal val="0"/>
          <c:showCatName val="0"/>
          <c:showSerName val="0"/>
          <c:showPercent val="0"/>
          <c:showBubbleSize val="0"/>
        </c:dLbls>
        <c:gapWidth val="40"/>
        <c:overlap val="-27"/>
        <c:axId val="488560640"/>
        <c:axId val="488561032"/>
      </c:barChart>
      <c:catAx>
        <c:axId val="488560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88561032"/>
        <c:crosses val="autoZero"/>
        <c:auto val="1"/>
        <c:lblAlgn val="ctr"/>
        <c:lblOffset val="100"/>
        <c:noMultiLvlLbl val="0"/>
      </c:catAx>
      <c:valAx>
        <c:axId val="488561032"/>
        <c:scaling>
          <c:orientation val="minMax"/>
          <c:max val="100"/>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Georgia" panose="02040502050405020303" pitchFamily="18" charset="0"/>
                    <a:ea typeface="+mn-ea"/>
                    <a:cs typeface="+mn-cs"/>
                  </a:defRPr>
                </a:pPr>
                <a:r>
                  <a:rPr lang="en-US" sz="1200">
                    <a:solidFill>
                      <a:sysClr val="windowText" lastClr="000000"/>
                    </a:solidFill>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60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F0"/>
            </a:solidFill>
            <a:ln>
              <a:noFill/>
            </a:ln>
            <a:effectLst/>
          </c:spPr>
          <c:invertIfNegative val="0"/>
          <c:dPt>
            <c:idx val="23"/>
            <c:invertIfNegative val="0"/>
            <c:bubble3D val="0"/>
            <c:spPr>
              <a:pattFill prst="wdDnDiag">
                <a:fgClr>
                  <a:srgbClr val="0070C0"/>
                </a:fgClr>
                <a:bgClr>
                  <a:schemeClr val="bg1"/>
                </a:bgClr>
              </a:pattFill>
              <a:ln>
                <a:solidFill>
                  <a:schemeClr val="accent1"/>
                </a:solidFill>
              </a:ln>
              <a:effectLst/>
            </c:spPr>
            <c:extLst>
              <c:ext xmlns:c16="http://schemas.microsoft.com/office/drawing/2014/chart" uri="{C3380CC4-5D6E-409C-BE32-E72D297353CC}">
                <c16:uniqueId val="{00000001-7769-0245-BDC0-2573B1025DAB}"/>
              </c:ext>
            </c:extLst>
          </c:dPt>
          <c:cat>
            <c:multiLvlStrRef>
              <c:f>ANC!$A$4:$B$27</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Kampala</c:v>
                  </c:pt>
                  <c:pt idx="13">
                    <c:v>West Nile</c:v>
                  </c:pt>
                  <c:pt idx="14">
                    <c:v>North East</c:v>
                  </c:pt>
                  <c:pt idx="15">
                    <c:v>South West</c:v>
                  </c:pt>
                  <c:pt idx="16">
                    <c:v>Central2</c:v>
                  </c:pt>
                  <c:pt idx="17">
                    <c:v>Mid East</c:v>
                  </c:pt>
                  <c:pt idx="18">
                    <c:v>Central1</c:v>
                  </c:pt>
                  <c:pt idx="19">
                    <c:v>Mid-North</c:v>
                  </c:pt>
                  <c:pt idx="20">
                    <c:v>Karamoja</c:v>
                  </c:pt>
                  <c:pt idx="21">
                    <c:v>Mid-West</c:v>
                  </c:pt>
                  <c:pt idx="23">
                    <c:v>National</c:v>
                  </c:pt>
                </c:lvl>
                <c:lvl>
                  <c:pt idx="0">
                    <c:v>Facility Level </c:v>
                  </c:pt>
                  <c:pt idx="6">
                    <c:v>Ownership</c:v>
                  </c:pt>
                  <c:pt idx="9">
                    <c:v>Facility location</c:v>
                  </c:pt>
                  <c:pt idx="12">
                    <c:v>Health _Regional </c:v>
                  </c:pt>
                  <c:pt idx="23">
                    <c:v>Uganda </c:v>
                  </c:pt>
                </c:lvl>
              </c:multiLvlStrCache>
            </c:multiLvlStrRef>
          </c:cat>
          <c:val>
            <c:numRef>
              <c:f>ANC!$C$4:$C$27</c:f>
              <c:numCache>
                <c:formatCode>General</c:formatCode>
                <c:ptCount val="24"/>
                <c:pt idx="0">
                  <c:v>100</c:v>
                </c:pt>
                <c:pt idx="1">
                  <c:v>93</c:v>
                </c:pt>
                <c:pt idx="2">
                  <c:v>90</c:v>
                </c:pt>
                <c:pt idx="3">
                  <c:v>93</c:v>
                </c:pt>
                <c:pt idx="4">
                  <c:v>64</c:v>
                </c:pt>
                <c:pt idx="6">
                  <c:v>86</c:v>
                </c:pt>
                <c:pt idx="7">
                  <c:v>62</c:v>
                </c:pt>
                <c:pt idx="9">
                  <c:v>56</c:v>
                </c:pt>
                <c:pt idx="10">
                  <c:v>86</c:v>
                </c:pt>
                <c:pt idx="12">
                  <c:v>48</c:v>
                </c:pt>
                <c:pt idx="13">
                  <c:v>58</c:v>
                </c:pt>
                <c:pt idx="14">
                  <c:v>66</c:v>
                </c:pt>
                <c:pt idx="15">
                  <c:v>72</c:v>
                </c:pt>
                <c:pt idx="16">
                  <c:v>74</c:v>
                </c:pt>
                <c:pt idx="17">
                  <c:v>86</c:v>
                </c:pt>
                <c:pt idx="18">
                  <c:v>94</c:v>
                </c:pt>
                <c:pt idx="19">
                  <c:v>95</c:v>
                </c:pt>
                <c:pt idx="20">
                  <c:v>100</c:v>
                </c:pt>
                <c:pt idx="21">
                  <c:v>100</c:v>
                </c:pt>
                <c:pt idx="23">
                  <c:v>73</c:v>
                </c:pt>
              </c:numCache>
            </c:numRef>
          </c:val>
          <c:extLst>
            <c:ext xmlns:c16="http://schemas.microsoft.com/office/drawing/2014/chart" uri="{C3380CC4-5D6E-409C-BE32-E72D297353CC}">
              <c16:uniqueId val="{00000002-7769-0245-BDC0-2573B1025DAB}"/>
            </c:ext>
          </c:extLst>
        </c:ser>
        <c:dLbls>
          <c:showLegendKey val="0"/>
          <c:showVal val="0"/>
          <c:showCatName val="0"/>
          <c:showSerName val="0"/>
          <c:showPercent val="0"/>
          <c:showBubbleSize val="0"/>
        </c:dLbls>
        <c:gapWidth val="62"/>
        <c:overlap val="-27"/>
        <c:axId val="488562208"/>
        <c:axId val="337382432"/>
      </c:barChart>
      <c:catAx>
        <c:axId val="488562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382432"/>
        <c:crosses val="autoZero"/>
        <c:auto val="1"/>
        <c:lblAlgn val="ctr"/>
        <c:lblOffset val="100"/>
        <c:noMultiLvlLbl val="0"/>
      </c:catAx>
      <c:valAx>
        <c:axId val="33738243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6220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99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ANC!$A$32:$A$36</c:f>
              <c:strCache>
                <c:ptCount val="5"/>
                <c:pt idx="0">
                  <c:v>Iron Supplement </c:v>
                </c:pt>
                <c:pt idx="1">
                  <c:v>Intermittent Preventive Treatment</c:v>
                </c:pt>
                <c:pt idx="2">
                  <c:v> Folic Acid</c:v>
                </c:pt>
                <c:pt idx="3">
                  <c:v>Tetanus Toxoid Immunization</c:v>
                </c:pt>
                <c:pt idx="4">
                  <c:v>Monitoring for Hypertensive disorder in Pregnancy </c:v>
                </c:pt>
              </c:strCache>
            </c:strRef>
          </c:cat>
          <c:val>
            <c:numRef>
              <c:f>ANC!$B$32:$B$36</c:f>
              <c:numCache>
                <c:formatCode>General</c:formatCode>
                <c:ptCount val="5"/>
                <c:pt idx="0">
                  <c:v>97</c:v>
                </c:pt>
                <c:pt idx="1">
                  <c:v>97</c:v>
                </c:pt>
                <c:pt idx="2">
                  <c:v>91</c:v>
                </c:pt>
                <c:pt idx="3">
                  <c:v>92</c:v>
                </c:pt>
                <c:pt idx="4">
                  <c:v>81</c:v>
                </c:pt>
              </c:numCache>
            </c:numRef>
          </c:val>
          <c:extLst>
            <c:ext xmlns:c16="http://schemas.microsoft.com/office/drawing/2014/chart" uri="{C3380CC4-5D6E-409C-BE32-E72D297353CC}">
              <c16:uniqueId val="{00000000-6D66-4982-83CB-71CDCE457FDE}"/>
            </c:ext>
          </c:extLst>
        </c:ser>
        <c:dLbls>
          <c:showLegendKey val="0"/>
          <c:showVal val="0"/>
          <c:showCatName val="0"/>
          <c:showSerName val="0"/>
          <c:showPercent val="0"/>
          <c:showBubbleSize val="0"/>
        </c:dLbls>
        <c:gapWidth val="62"/>
        <c:axId val="337382824"/>
        <c:axId val="337383216"/>
      </c:barChart>
      <c:catAx>
        <c:axId val="337382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337383216"/>
        <c:crosses val="autoZero"/>
        <c:auto val="1"/>
        <c:lblAlgn val="ctr"/>
        <c:lblOffset val="100"/>
        <c:noMultiLvlLbl val="0"/>
      </c:catAx>
      <c:valAx>
        <c:axId val="337383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38282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FF99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ANC!$A$53:$B$57</c:f>
              <c:multiLvlStrCache>
                <c:ptCount val="5"/>
                <c:lvl>
                  <c:pt idx="0">
                    <c:v>ANC Check List or Job Aids </c:v>
                  </c:pt>
                  <c:pt idx="1">
                    <c:v>IPTp Check List or Job Aids</c:v>
                  </c:pt>
                  <c:pt idx="3">
                    <c:v>ANC Training</c:v>
                  </c:pt>
                  <c:pt idx="4">
                    <c:v>IPTp Training</c:v>
                  </c:pt>
                </c:lvl>
                <c:lvl>
                  <c:pt idx="0">
                    <c:v>Documents</c:v>
                  </c:pt>
                  <c:pt idx="3">
                    <c:v>Training in last 2 years</c:v>
                  </c:pt>
                </c:lvl>
              </c:multiLvlStrCache>
            </c:multiLvlStrRef>
          </c:cat>
          <c:val>
            <c:numRef>
              <c:f>ANC!$C$53:$C$57</c:f>
              <c:numCache>
                <c:formatCode>General</c:formatCode>
                <c:ptCount val="5"/>
                <c:pt idx="0">
                  <c:v>55</c:v>
                </c:pt>
                <c:pt idx="1">
                  <c:v>50</c:v>
                </c:pt>
                <c:pt idx="3">
                  <c:v>44</c:v>
                </c:pt>
                <c:pt idx="4">
                  <c:v>51</c:v>
                </c:pt>
              </c:numCache>
            </c:numRef>
          </c:val>
          <c:extLst>
            <c:ext xmlns:c16="http://schemas.microsoft.com/office/drawing/2014/chart" uri="{C3380CC4-5D6E-409C-BE32-E72D297353CC}">
              <c16:uniqueId val="{00000000-F524-414A-9820-3FBB7404E219}"/>
            </c:ext>
          </c:extLst>
        </c:ser>
        <c:dLbls>
          <c:showLegendKey val="0"/>
          <c:showVal val="0"/>
          <c:showCatName val="0"/>
          <c:showSerName val="0"/>
          <c:showPercent val="0"/>
          <c:showBubbleSize val="0"/>
        </c:dLbls>
        <c:gapWidth val="219"/>
        <c:overlap val="-27"/>
        <c:axId val="337384000"/>
        <c:axId val="286812376"/>
      </c:barChart>
      <c:catAx>
        <c:axId val="337384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286812376"/>
        <c:crosses val="autoZero"/>
        <c:auto val="1"/>
        <c:lblAlgn val="ctr"/>
        <c:lblOffset val="100"/>
        <c:noMultiLvlLbl val="0"/>
      </c:catAx>
      <c:valAx>
        <c:axId val="286812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38400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eMTCT!$B$3</c:f>
              <c:strCache>
                <c:ptCount val="1"/>
                <c:pt idx="0">
                  <c:v>National</c:v>
                </c:pt>
              </c:strCache>
            </c:strRef>
          </c:tx>
          <c:spPr>
            <a:solidFill>
              <a:srgbClr val="FFC000"/>
            </a:solidFill>
            <a:ln>
              <a:noFill/>
            </a:ln>
            <a:effectLst/>
          </c:spPr>
          <c:invertIfNegative val="0"/>
          <c:dPt>
            <c:idx val="8"/>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1-22AB-4B06-890A-57BF1163D5B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eMTCT!$A$4:$A$12</c:f>
              <c:strCache>
                <c:ptCount val="9"/>
                <c:pt idx="0">
                  <c:v>HIV Councelling and testing </c:v>
                </c:pt>
                <c:pt idx="1">
                  <c:v>Infant and young feeding </c:v>
                </c:pt>
                <c:pt idx="2">
                  <c:v>Councelling and testing for infants born to HIV+ women</c:v>
                </c:pt>
                <c:pt idx="3">
                  <c:v>Nutritional councelling </c:v>
                </c:pt>
                <c:pt idx="4">
                  <c:v>Family planning counselling</c:v>
                </c:pt>
                <c:pt idx="5">
                  <c:v>ARV Prophylaxis </c:v>
                </c:pt>
                <c:pt idx="6">
                  <c:v>ARV Prophylaxis to new borns</c:v>
                </c:pt>
                <c:pt idx="8">
                  <c:v>Facility providing eMTCT</c:v>
                </c:pt>
              </c:strCache>
            </c:strRef>
          </c:cat>
          <c:val>
            <c:numRef>
              <c:f>eMTCT!$B$4:$B$12</c:f>
              <c:numCache>
                <c:formatCode>General</c:formatCode>
                <c:ptCount val="9"/>
                <c:pt idx="0">
                  <c:v>100</c:v>
                </c:pt>
                <c:pt idx="1">
                  <c:v>94</c:v>
                </c:pt>
                <c:pt idx="2">
                  <c:v>93</c:v>
                </c:pt>
                <c:pt idx="3">
                  <c:v>93</c:v>
                </c:pt>
                <c:pt idx="4">
                  <c:v>92</c:v>
                </c:pt>
                <c:pt idx="5">
                  <c:v>79</c:v>
                </c:pt>
                <c:pt idx="6">
                  <c:v>79</c:v>
                </c:pt>
                <c:pt idx="8">
                  <c:v>54</c:v>
                </c:pt>
              </c:numCache>
            </c:numRef>
          </c:val>
          <c:extLst>
            <c:ext xmlns:c16="http://schemas.microsoft.com/office/drawing/2014/chart" uri="{C3380CC4-5D6E-409C-BE32-E72D297353CC}">
              <c16:uniqueId val="{00000002-22AB-4B06-890A-57BF1163D5BE}"/>
            </c:ext>
          </c:extLst>
        </c:ser>
        <c:dLbls>
          <c:showLegendKey val="0"/>
          <c:showVal val="0"/>
          <c:showCatName val="0"/>
          <c:showSerName val="0"/>
          <c:showPercent val="0"/>
          <c:showBubbleSize val="0"/>
        </c:dLbls>
        <c:gapWidth val="42"/>
        <c:axId val="286813160"/>
        <c:axId val="286813552"/>
      </c:barChart>
      <c:catAx>
        <c:axId val="2868131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286813552"/>
        <c:crosses val="autoZero"/>
        <c:auto val="1"/>
        <c:lblAlgn val="ctr"/>
        <c:lblOffset val="100"/>
        <c:noMultiLvlLbl val="0"/>
      </c:catAx>
      <c:valAx>
        <c:axId val="286813552"/>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681316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Pt>
            <c:idx val="23"/>
            <c:invertIfNegative val="0"/>
            <c:bubble3D val="0"/>
            <c:spPr>
              <a:pattFill prst="wdDnDiag">
                <a:fgClr>
                  <a:schemeClr val="accent1"/>
                </a:fgClr>
                <a:bgClr>
                  <a:schemeClr val="bg1"/>
                </a:bgClr>
              </a:pattFill>
              <a:ln>
                <a:solidFill>
                  <a:schemeClr val="tx1"/>
                </a:solidFill>
              </a:ln>
              <a:effectLst/>
            </c:spPr>
            <c:extLst>
              <c:ext xmlns:c16="http://schemas.microsoft.com/office/drawing/2014/chart" uri="{C3380CC4-5D6E-409C-BE32-E72D297353CC}">
                <c16:uniqueId val="{00000001-51AC-BE4D-B42E-BFF5883D7B43}"/>
              </c:ext>
            </c:extLst>
          </c:dPt>
          <c:cat>
            <c:multiLvlStrRef>
              <c:f>eMTCT!$A$20:$B$43</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Central2</c:v>
                  </c:pt>
                  <c:pt idx="13">
                    <c:v>Mid-West</c:v>
                  </c:pt>
                  <c:pt idx="14">
                    <c:v>Karamoja</c:v>
                  </c:pt>
                  <c:pt idx="15">
                    <c:v>Central1</c:v>
                  </c:pt>
                  <c:pt idx="16">
                    <c:v>North East</c:v>
                  </c:pt>
                  <c:pt idx="17">
                    <c:v>Mid East</c:v>
                  </c:pt>
                  <c:pt idx="18">
                    <c:v>South West</c:v>
                  </c:pt>
                  <c:pt idx="19">
                    <c:v>Mid-North</c:v>
                  </c:pt>
                  <c:pt idx="20">
                    <c:v>West Nile</c:v>
                  </c:pt>
                  <c:pt idx="21">
                    <c:v>Kampala</c:v>
                  </c:pt>
                  <c:pt idx="23">
                    <c:v>National</c:v>
                  </c:pt>
                </c:lvl>
                <c:lvl>
                  <c:pt idx="0">
                    <c:v>Facility level</c:v>
                  </c:pt>
                  <c:pt idx="6">
                    <c:v>Ownership</c:v>
                  </c:pt>
                  <c:pt idx="9">
                    <c:v>Facility location</c:v>
                  </c:pt>
                  <c:pt idx="12">
                    <c:v>Health Region</c:v>
                  </c:pt>
                  <c:pt idx="23">
                    <c:v>Uganda</c:v>
                  </c:pt>
                </c:lvl>
              </c:multiLvlStrCache>
            </c:multiLvlStrRef>
          </c:cat>
          <c:val>
            <c:numRef>
              <c:f>eMTCT!$C$20:$C$43</c:f>
              <c:numCache>
                <c:formatCode>General</c:formatCode>
                <c:ptCount val="24"/>
                <c:pt idx="0">
                  <c:v>100</c:v>
                </c:pt>
                <c:pt idx="1">
                  <c:v>67</c:v>
                </c:pt>
                <c:pt idx="2">
                  <c:v>90</c:v>
                </c:pt>
                <c:pt idx="3">
                  <c:v>73</c:v>
                </c:pt>
                <c:pt idx="4">
                  <c:v>43</c:v>
                </c:pt>
                <c:pt idx="6">
                  <c:v>74</c:v>
                </c:pt>
                <c:pt idx="7">
                  <c:v>36</c:v>
                </c:pt>
                <c:pt idx="9">
                  <c:v>44</c:v>
                </c:pt>
                <c:pt idx="10">
                  <c:v>62</c:v>
                </c:pt>
                <c:pt idx="12">
                  <c:v>74</c:v>
                </c:pt>
                <c:pt idx="13">
                  <c:v>73</c:v>
                </c:pt>
                <c:pt idx="14">
                  <c:v>71</c:v>
                </c:pt>
                <c:pt idx="15">
                  <c:v>66</c:v>
                </c:pt>
                <c:pt idx="16">
                  <c:v>66</c:v>
                </c:pt>
                <c:pt idx="17">
                  <c:v>65</c:v>
                </c:pt>
                <c:pt idx="18">
                  <c:v>64</c:v>
                </c:pt>
                <c:pt idx="19">
                  <c:v>63</c:v>
                </c:pt>
                <c:pt idx="20">
                  <c:v>43</c:v>
                </c:pt>
                <c:pt idx="21">
                  <c:v>27</c:v>
                </c:pt>
                <c:pt idx="23">
                  <c:v>54</c:v>
                </c:pt>
              </c:numCache>
            </c:numRef>
          </c:val>
          <c:extLst>
            <c:ext xmlns:c16="http://schemas.microsoft.com/office/drawing/2014/chart" uri="{C3380CC4-5D6E-409C-BE32-E72D297353CC}">
              <c16:uniqueId val="{00000002-51AC-BE4D-B42E-BFF5883D7B43}"/>
            </c:ext>
          </c:extLst>
        </c:ser>
        <c:dLbls>
          <c:showLegendKey val="0"/>
          <c:showVal val="0"/>
          <c:showCatName val="0"/>
          <c:showSerName val="0"/>
          <c:showPercent val="0"/>
          <c:showBubbleSize val="0"/>
        </c:dLbls>
        <c:gapWidth val="60"/>
        <c:overlap val="-27"/>
        <c:axId val="346590088"/>
        <c:axId val="346590480"/>
      </c:barChart>
      <c:catAx>
        <c:axId val="346590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590480"/>
        <c:crosses val="autoZero"/>
        <c:auto val="1"/>
        <c:lblAlgn val="ctr"/>
        <c:lblOffset val="100"/>
        <c:noMultiLvlLbl val="0"/>
      </c:catAx>
      <c:valAx>
        <c:axId val="34659048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59008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'HIV &amp; ART'!$B$4</c:f>
              <c:strCache>
                <c:ptCount val="1"/>
                <c:pt idx="0">
                  <c:v>National</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'HIV &amp; ART'!$A$5:$A$8</c:f>
              <c:strCache>
                <c:ptCount val="4"/>
                <c:pt idx="0">
                  <c:v>HIV counselling and testing services offered</c:v>
                </c:pt>
                <c:pt idx="1">
                  <c:v>HIV counselling and testing for adolescents</c:v>
                </c:pt>
                <c:pt idx="2">
                  <c:v>ARV services offered</c:v>
                </c:pt>
                <c:pt idx="3">
                  <c:v>HIV care &amp; support services offered</c:v>
                </c:pt>
              </c:strCache>
            </c:strRef>
          </c:cat>
          <c:val>
            <c:numRef>
              <c:f>'HIV &amp; ART'!$B$5:$B$8</c:f>
              <c:numCache>
                <c:formatCode>General</c:formatCode>
                <c:ptCount val="4"/>
                <c:pt idx="0">
                  <c:v>83</c:v>
                </c:pt>
                <c:pt idx="1">
                  <c:v>74</c:v>
                </c:pt>
                <c:pt idx="2">
                  <c:v>43</c:v>
                </c:pt>
                <c:pt idx="3">
                  <c:v>41</c:v>
                </c:pt>
              </c:numCache>
            </c:numRef>
          </c:val>
          <c:extLst>
            <c:ext xmlns:c16="http://schemas.microsoft.com/office/drawing/2014/chart" uri="{C3380CC4-5D6E-409C-BE32-E72D297353CC}">
              <c16:uniqueId val="{00000000-8F97-884F-B834-7A498384A8E8}"/>
            </c:ext>
          </c:extLst>
        </c:ser>
        <c:dLbls>
          <c:dLblPos val="inEnd"/>
          <c:showLegendKey val="0"/>
          <c:showVal val="1"/>
          <c:showCatName val="0"/>
          <c:showSerName val="0"/>
          <c:showPercent val="0"/>
          <c:showBubbleSize val="0"/>
        </c:dLbls>
        <c:gapWidth val="62"/>
        <c:axId val="346590872"/>
        <c:axId val="346591264"/>
      </c:barChart>
      <c:catAx>
        <c:axId val="346590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346591264"/>
        <c:crosses val="autoZero"/>
        <c:auto val="1"/>
        <c:lblAlgn val="ctr"/>
        <c:lblOffset val="100"/>
        <c:noMultiLvlLbl val="0"/>
      </c:catAx>
      <c:valAx>
        <c:axId val="346591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59087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C000"/>
            </a:solidFill>
            <a:ln>
              <a:noFill/>
            </a:ln>
            <a:effectLst/>
          </c:spPr>
          <c:invertIfNegative val="0"/>
          <c:dPt>
            <c:idx val="5"/>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1-9B1F-7241-8F5C-D8AB5E6D4E19}"/>
              </c:ext>
            </c:extLst>
          </c:dPt>
          <c:cat>
            <c:strRef>
              <c:f>'HIV &amp; ART'!$A$30:$A$35</c:f>
              <c:strCache>
                <c:ptCount val="6"/>
                <c:pt idx="0">
                  <c:v>Staff trained HIV counselling and testing</c:v>
                </c:pt>
                <c:pt idx="1">
                  <c:v>Staff trained HIV/AIDS prevention/care/management adolescents</c:v>
                </c:pt>
                <c:pt idx="2">
                  <c:v>Room with auditory/visual privacy for HIV</c:v>
                </c:pt>
                <c:pt idx="3">
                  <c:v>Guidelines HIV counselling and testing</c:v>
                </c:pt>
                <c:pt idx="5">
                  <c:v>HIV counselling and testing services offered</c:v>
                </c:pt>
              </c:strCache>
            </c:strRef>
          </c:cat>
          <c:val>
            <c:numRef>
              <c:f>'HIV &amp; ART'!$B$30:$B$35</c:f>
              <c:numCache>
                <c:formatCode>General</c:formatCode>
                <c:ptCount val="6"/>
                <c:pt idx="0">
                  <c:v>57</c:v>
                </c:pt>
                <c:pt idx="1">
                  <c:v>58</c:v>
                </c:pt>
                <c:pt idx="2">
                  <c:v>63</c:v>
                </c:pt>
                <c:pt idx="3">
                  <c:v>64</c:v>
                </c:pt>
                <c:pt idx="5">
                  <c:v>83</c:v>
                </c:pt>
              </c:numCache>
            </c:numRef>
          </c:val>
          <c:extLst>
            <c:ext xmlns:c16="http://schemas.microsoft.com/office/drawing/2014/chart" uri="{C3380CC4-5D6E-409C-BE32-E72D297353CC}">
              <c16:uniqueId val="{00000002-9B1F-7241-8F5C-D8AB5E6D4E19}"/>
            </c:ext>
          </c:extLst>
        </c:ser>
        <c:dLbls>
          <c:showLegendKey val="0"/>
          <c:showVal val="0"/>
          <c:showCatName val="0"/>
          <c:showSerName val="0"/>
          <c:showPercent val="0"/>
          <c:showBubbleSize val="0"/>
        </c:dLbls>
        <c:gapWidth val="50"/>
        <c:axId val="305114936"/>
        <c:axId val="305115328"/>
      </c:barChart>
      <c:catAx>
        <c:axId val="305114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115328"/>
        <c:crosses val="autoZero"/>
        <c:auto val="1"/>
        <c:lblAlgn val="ctr"/>
        <c:lblOffset val="100"/>
        <c:noMultiLvlLbl val="0"/>
      </c:catAx>
      <c:valAx>
        <c:axId val="3051153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11493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F0"/>
            </a:solidFill>
            <a:ln>
              <a:noFill/>
            </a:ln>
            <a:effectLst/>
          </c:spPr>
          <c:invertIfNegative val="0"/>
          <c:dPt>
            <c:idx val="0"/>
            <c:invertIfNegative val="0"/>
            <c:bubble3D val="0"/>
            <c:spPr>
              <a:pattFill prst="wdDnDiag">
                <a:fgClr>
                  <a:schemeClr val="accent1"/>
                </a:fgClr>
                <a:bgClr>
                  <a:schemeClr val="bg1"/>
                </a:bgClr>
              </a:pattFill>
              <a:ln>
                <a:solidFill>
                  <a:schemeClr val="tx1"/>
                </a:solidFill>
              </a:ln>
              <a:effectLst/>
            </c:spPr>
            <c:extLst>
              <c:ext xmlns:c16="http://schemas.microsoft.com/office/drawing/2014/chart" uri="{C3380CC4-5D6E-409C-BE32-E72D297353CC}">
                <c16:uniqueId val="{00000001-5213-43C3-A9BD-2709902CDB1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'HIV &amp; ART'!$A$55:$A$60</c:f>
              <c:strCache>
                <c:ptCount val="6"/>
                <c:pt idx="0">
                  <c:v>HIV counselling and testing services offered</c:v>
                </c:pt>
                <c:pt idx="2">
                  <c:v>HIV rapid test kit available: SD Bioline</c:v>
                </c:pt>
                <c:pt idx="3">
                  <c:v>HIV rapid test kit available: Statpak</c:v>
                </c:pt>
                <c:pt idx="4">
                  <c:v>Condoms in service site</c:v>
                </c:pt>
                <c:pt idx="5">
                  <c:v>HIV rapid test kit available: Determine</c:v>
                </c:pt>
              </c:strCache>
            </c:strRef>
          </c:cat>
          <c:val>
            <c:numRef>
              <c:f>'HIV &amp; ART'!$B$55:$B$60</c:f>
              <c:numCache>
                <c:formatCode>General</c:formatCode>
                <c:ptCount val="6"/>
                <c:pt idx="0">
                  <c:v>83</c:v>
                </c:pt>
                <c:pt idx="2">
                  <c:v>50</c:v>
                </c:pt>
                <c:pt idx="3">
                  <c:v>78</c:v>
                </c:pt>
                <c:pt idx="4">
                  <c:v>81</c:v>
                </c:pt>
                <c:pt idx="5">
                  <c:v>87</c:v>
                </c:pt>
              </c:numCache>
            </c:numRef>
          </c:val>
          <c:extLst>
            <c:ext xmlns:c16="http://schemas.microsoft.com/office/drawing/2014/chart" uri="{C3380CC4-5D6E-409C-BE32-E72D297353CC}">
              <c16:uniqueId val="{00000002-5213-43C3-A9BD-2709902CDB1E}"/>
            </c:ext>
          </c:extLst>
        </c:ser>
        <c:dLbls>
          <c:showLegendKey val="0"/>
          <c:showVal val="0"/>
          <c:showCatName val="0"/>
          <c:showSerName val="0"/>
          <c:showPercent val="0"/>
          <c:showBubbleSize val="0"/>
        </c:dLbls>
        <c:gapWidth val="219"/>
        <c:overlap val="-27"/>
        <c:axId val="305116112"/>
        <c:axId val="512376608"/>
      </c:barChart>
      <c:catAx>
        <c:axId val="305116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76608"/>
        <c:crosses val="autoZero"/>
        <c:auto val="1"/>
        <c:lblAlgn val="ctr"/>
        <c:lblOffset val="100"/>
        <c:noMultiLvlLbl val="0"/>
      </c:catAx>
      <c:valAx>
        <c:axId val="512376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11611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9900"/>
            </a:solidFill>
            <a:ln>
              <a:noFill/>
            </a:ln>
            <a:effectLst/>
          </c:spPr>
          <c:invertIfNegative val="0"/>
          <c:dPt>
            <c:idx val="6"/>
            <c:invertIfNegative val="0"/>
            <c:bubble3D val="0"/>
            <c:spPr>
              <a:pattFill prst="wdDnDiag">
                <a:fgClr>
                  <a:srgbClr val="FF9900"/>
                </a:fgClr>
                <a:bgClr>
                  <a:schemeClr val="bg1"/>
                </a:bgClr>
              </a:pattFill>
              <a:ln>
                <a:solidFill>
                  <a:schemeClr val="tx1"/>
                </a:solidFill>
              </a:ln>
              <a:effectLst/>
            </c:spPr>
            <c:extLst>
              <c:ext xmlns:c16="http://schemas.microsoft.com/office/drawing/2014/chart" uri="{C3380CC4-5D6E-409C-BE32-E72D297353CC}">
                <c16:uniqueId val="{00000001-9ABB-43C9-9822-13BD4DB564E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'HIV &amp; ART'!$A$80:$A$86</c:f>
              <c:strCache>
                <c:ptCount val="7"/>
                <c:pt idx="0">
                  <c:v>Does facility prescribe ART to adolescents</c:v>
                </c:pt>
                <c:pt idx="1">
                  <c:v>Does facility prescribe ART</c:v>
                </c:pt>
                <c:pt idx="2">
                  <c:v>Treatment follow-up services for ART patients</c:v>
                </c:pt>
                <c:pt idx="3">
                  <c:v>Staff trained on ART</c:v>
                </c:pt>
                <c:pt idx="4">
                  <c:v>Availability of ART Guidelines</c:v>
                </c:pt>
                <c:pt idx="6">
                  <c:v>ARV services offered</c:v>
                </c:pt>
              </c:strCache>
            </c:strRef>
          </c:cat>
          <c:val>
            <c:numRef>
              <c:f>'HIV &amp; ART'!$B$80:$B$86</c:f>
              <c:numCache>
                <c:formatCode>General</c:formatCode>
                <c:ptCount val="7"/>
                <c:pt idx="0">
                  <c:v>99</c:v>
                </c:pt>
                <c:pt idx="1">
                  <c:v>98</c:v>
                </c:pt>
                <c:pt idx="2">
                  <c:v>98</c:v>
                </c:pt>
                <c:pt idx="3">
                  <c:v>95</c:v>
                </c:pt>
                <c:pt idx="4">
                  <c:v>90</c:v>
                </c:pt>
                <c:pt idx="6">
                  <c:v>42</c:v>
                </c:pt>
              </c:numCache>
            </c:numRef>
          </c:val>
          <c:extLst>
            <c:ext xmlns:c16="http://schemas.microsoft.com/office/drawing/2014/chart" uri="{C3380CC4-5D6E-409C-BE32-E72D297353CC}">
              <c16:uniqueId val="{00000002-9ABB-43C9-9822-13BD4DB564EE}"/>
            </c:ext>
          </c:extLst>
        </c:ser>
        <c:dLbls>
          <c:showLegendKey val="0"/>
          <c:showVal val="0"/>
          <c:showCatName val="0"/>
          <c:showSerName val="0"/>
          <c:showPercent val="0"/>
          <c:showBubbleSize val="0"/>
        </c:dLbls>
        <c:gapWidth val="60"/>
        <c:axId val="512377392"/>
        <c:axId val="512377784"/>
      </c:barChart>
      <c:catAx>
        <c:axId val="512377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77784"/>
        <c:crosses val="autoZero"/>
        <c:auto val="1"/>
        <c:lblAlgn val="ctr"/>
        <c:lblOffset val="100"/>
        <c:noMultiLvlLbl val="0"/>
      </c:catAx>
      <c:valAx>
        <c:axId val="512377784"/>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37739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9900"/>
            </a:solidFill>
            <a:ln>
              <a:noFill/>
            </a:ln>
            <a:effectLst/>
          </c:spPr>
          <c:invertIfNegative val="0"/>
          <c:dPt>
            <c:idx val="13"/>
            <c:invertIfNegative val="0"/>
            <c:bubble3D val="0"/>
            <c:spPr>
              <a:pattFill prst="wdDnDiag">
                <a:fgClr>
                  <a:srgbClr val="FF9900"/>
                </a:fgClr>
                <a:bgClr>
                  <a:schemeClr val="bg1"/>
                </a:bgClr>
              </a:pattFill>
              <a:ln>
                <a:solidFill>
                  <a:schemeClr val="tx1"/>
                </a:solidFill>
              </a:ln>
              <a:effectLst/>
            </c:spPr>
            <c:extLst>
              <c:ext xmlns:c16="http://schemas.microsoft.com/office/drawing/2014/chart" uri="{C3380CC4-5D6E-409C-BE32-E72D297353CC}">
                <c16:uniqueId val="{00000001-86A1-44F1-B309-A1C3ABCC0D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'HIV &amp; ART'!$A$108:$A$121</c:f>
              <c:strCache>
                <c:ptCount val="14"/>
                <c:pt idx="0">
                  <c:v>Family planning counseling</c:v>
                </c:pt>
                <c:pt idx="1">
                  <c:v>Preventative treatment for OIs</c:v>
                </c:pt>
                <c:pt idx="2">
                  <c:v>Treatment for OIs</c:v>
                </c:pt>
                <c:pt idx="3">
                  <c:v>Condom provision</c:v>
                </c:pt>
                <c:pt idx="4">
                  <c:v>Micronutrient supplementation</c:v>
                </c:pt>
                <c:pt idx="5">
                  <c:v>Care for pediatric HIV patients</c:v>
                </c:pt>
                <c:pt idx="6">
                  <c:v>Preventative treatment for TB</c:v>
                </c:pt>
                <c:pt idx="7">
                  <c:v>Nutritional rehabilitation services</c:v>
                </c:pt>
                <c:pt idx="8">
                  <c:v>Palliative care</c:v>
                </c:pt>
                <c:pt idx="9">
                  <c:v>Fortified protein supplementaiton</c:v>
                </c:pt>
                <c:pt idx="10">
                  <c:v>IV treatment of fungal infections</c:v>
                </c:pt>
                <c:pt idx="11">
                  <c:v>Treatment for Kaposi's sarcoma</c:v>
                </c:pt>
                <c:pt idx="13">
                  <c:v>HIV care &amp; support services offered</c:v>
                </c:pt>
              </c:strCache>
            </c:strRef>
          </c:cat>
          <c:val>
            <c:numRef>
              <c:f>'HIV &amp; ART'!$B$108:$B$121</c:f>
              <c:numCache>
                <c:formatCode>General</c:formatCode>
                <c:ptCount val="14"/>
                <c:pt idx="0">
                  <c:v>96</c:v>
                </c:pt>
                <c:pt idx="1">
                  <c:v>93</c:v>
                </c:pt>
                <c:pt idx="2">
                  <c:v>88</c:v>
                </c:pt>
                <c:pt idx="3">
                  <c:v>88</c:v>
                </c:pt>
                <c:pt idx="4">
                  <c:v>87</c:v>
                </c:pt>
                <c:pt idx="5">
                  <c:v>84</c:v>
                </c:pt>
                <c:pt idx="6">
                  <c:v>69</c:v>
                </c:pt>
                <c:pt idx="7">
                  <c:v>61</c:v>
                </c:pt>
                <c:pt idx="8">
                  <c:v>51</c:v>
                </c:pt>
                <c:pt idx="9">
                  <c:v>38</c:v>
                </c:pt>
                <c:pt idx="10">
                  <c:v>28</c:v>
                </c:pt>
                <c:pt idx="11">
                  <c:v>20</c:v>
                </c:pt>
                <c:pt idx="13">
                  <c:v>41</c:v>
                </c:pt>
              </c:numCache>
            </c:numRef>
          </c:val>
          <c:extLst>
            <c:ext xmlns:c16="http://schemas.microsoft.com/office/drawing/2014/chart" uri="{C3380CC4-5D6E-409C-BE32-E72D297353CC}">
              <c16:uniqueId val="{00000002-86A1-44F1-B309-A1C3ABCC0DEE}"/>
            </c:ext>
          </c:extLst>
        </c:ser>
        <c:dLbls>
          <c:showLegendKey val="0"/>
          <c:showVal val="0"/>
          <c:showCatName val="0"/>
          <c:showSerName val="0"/>
          <c:showPercent val="0"/>
          <c:showBubbleSize val="0"/>
        </c:dLbls>
        <c:gapWidth val="62"/>
        <c:axId val="370704504"/>
        <c:axId val="370704896"/>
      </c:barChart>
      <c:catAx>
        <c:axId val="370704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704896"/>
        <c:crosses val="autoZero"/>
        <c:auto val="1"/>
        <c:lblAlgn val="ctr"/>
        <c:lblOffset val="100"/>
        <c:noMultiLvlLbl val="0"/>
      </c:catAx>
      <c:valAx>
        <c:axId val="370704896"/>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70450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2">
                <a:lumMod val="60000"/>
                <a:lumOff val="40000"/>
              </a:schemeClr>
            </a:solidFill>
            <a:ln>
              <a:noFill/>
            </a:ln>
            <a:effectLst/>
          </c:spPr>
          <c:invertIfNegative val="0"/>
          <c:dPt>
            <c:idx val="10"/>
            <c:invertIfNegative val="0"/>
            <c:bubble3D val="0"/>
            <c:spPr>
              <a:pattFill prst="wdDnDiag">
                <a:fgClr>
                  <a:schemeClr val="accent2">
                    <a:lumMod val="60000"/>
                    <a:lumOff val="40000"/>
                  </a:schemeClr>
                </a:fgClr>
                <a:bgClr>
                  <a:schemeClr val="bg1"/>
                </a:bgClr>
              </a:pattFill>
              <a:ln>
                <a:solidFill>
                  <a:schemeClr val="accent1"/>
                </a:solidFill>
              </a:ln>
              <a:effectLst/>
            </c:spPr>
            <c:extLst>
              <c:ext xmlns:c16="http://schemas.microsoft.com/office/drawing/2014/chart" uri="{C3380CC4-5D6E-409C-BE32-E72D297353CC}">
                <c16:uniqueId val="{00000001-2D1C-48B3-8DA9-0F13B981E2F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'Basic Surgery'!$A$3:$A$13</c:f>
              <c:strCache>
                <c:ptCount val="11"/>
                <c:pt idx="0">
                  <c:v>Chest tube insertion</c:v>
                </c:pt>
                <c:pt idx="1">
                  <c:v>Cricothyroidotomy </c:v>
                </c:pt>
                <c:pt idx="2">
                  <c:v>Closed repair of fracture </c:v>
                </c:pt>
                <c:pt idx="3">
                  <c:v>Hydrocele reduction</c:v>
                </c:pt>
                <c:pt idx="4">
                  <c:v>Male circumcision </c:v>
                </c:pt>
                <c:pt idx="5">
                  <c:v>Wound debridement</c:v>
                </c:pt>
                <c:pt idx="6">
                  <c:v>Acute burn Management </c:v>
                </c:pt>
                <c:pt idx="7">
                  <c:v>Suturing </c:v>
                </c:pt>
                <c:pt idx="8">
                  <c:v>Incision and drainage of  abscesses</c:v>
                </c:pt>
                <c:pt idx="10">
                  <c:v>Offers Surgical Services</c:v>
                </c:pt>
              </c:strCache>
            </c:strRef>
          </c:cat>
          <c:val>
            <c:numRef>
              <c:f>'Basic Surgery'!$B$3:$B$13</c:f>
              <c:numCache>
                <c:formatCode>General</c:formatCode>
                <c:ptCount val="11"/>
                <c:pt idx="0">
                  <c:v>17</c:v>
                </c:pt>
                <c:pt idx="1">
                  <c:v>18</c:v>
                </c:pt>
                <c:pt idx="2">
                  <c:v>19</c:v>
                </c:pt>
                <c:pt idx="3">
                  <c:v>26</c:v>
                </c:pt>
                <c:pt idx="4">
                  <c:v>49</c:v>
                </c:pt>
                <c:pt idx="5">
                  <c:v>63</c:v>
                </c:pt>
                <c:pt idx="6">
                  <c:v>68</c:v>
                </c:pt>
                <c:pt idx="7">
                  <c:v>81</c:v>
                </c:pt>
                <c:pt idx="8">
                  <c:v>82</c:v>
                </c:pt>
                <c:pt idx="10">
                  <c:v>43</c:v>
                </c:pt>
              </c:numCache>
            </c:numRef>
          </c:val>
          <c:extLst>
            <c:ext xmlns:c16="http://schemas.microsoft.com/office/drawing/2014/chart" uri="{C3380CC4-5D6E-409C-BE32-E72D297353CC}">
              <c16:uniqueId val="{00000002-2D1C-48B3-8DA9-0F13B981E2F1}"/>
            </c:ext>
          </c:extLst>
        </c:ser>
        <c:dLbls>
          <c:showLegendKey val="0"/>
          <c:showVal val="0"/>
          <c:showCatName val="0"/>
          <c:showSerName val="0"/>
          <c:showPercent val="0"/>
          <c:showBubbleSize val="0"/>
        </c:dLbls>
        <c:gapWidth val="62"/>
        <c:axId val="370705680"/>
        <c:axId val="370706072"/>
      </c:barChart>
      <c:catAx>
        <c:axId val="370705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706072"/>
        <c:crosses val="autoZero"/>
        <c:auto val="1"/>
        <c:lblAlgn val="ctr"/>
        <c:lblOffset val="100"/>
        <c:noMultiLvlLbl val="0"/>
      </c:catAx>
      <c:valAx>
        <c:axId val="3707060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70568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2">
                <a:lumMod val="60000"/>
                <a:lumOff val="40000"/>
              </a:schemeClr>
            </a:solidFill>
            <a:ln>
              <a:noFill/>
            </a:ln>
            <a:effectLst/>
          </c:spPr>
          <c:invertIfNegative val="0"/>
          <c:dPt>
            <c:idx val="20"/>
            <c:invertIfNegative val="0"/>
            <c:bubble3D val="0"/>
            <c:spPr>
              <a:pattFill prst="wdDnDiag">
                <a:fgClr>
                  <a:schemeClr val="accent2">
                    <a:lumMod val="60000"/>
                    <a:lumOff val="40000"/>
                  </a:schemeClr>
                </a:fgClr>
                <a:bgClr>
                  <a:schemeClr val="bg1"/>
                </a:bgClr>
              </a:pattFill>
              <a:ln>
                <a:solidFill>
                  <a:schemeClr val="accent1"/>
                </a:solidFill>
              </a:ln>
              <a:effectLst/>
            </c:spPr>
            <c:extLst>
              <c:ext xmlns:c16="http://schemas.microsoft.com/office/drawing/2014/chart" uri="{C3380CC4-5D6E-409C-BE32-E72D297353CC}">
                <c16:uniqueId val="{00000001-ECCD-46EB-BB5D-653285976D24}"/>
              </c:ext>
            </c:extLst>
          </c:dPt>
          <c:cat>
            <c:strRef>
              <c:f>'Comprehensive surgery'!$A$4:$A$24</c:f>
              <c:strCache>
                <c:ptCount val="21"/>
                <c:pt idx="0">
                  <c:v>Cleft palate repair</c:v>
                </c:pt>
                <c:pt idx="1">
                  <c:v>Cataract surgery</c:v>
                </c:pt>
                <c:pt idx="2">
                  <c:v>Neonatal surgery </c:v>
                </c:pt>
                <c:pt idx="3">
                  <c:v>Contracture release</c:v>
                </c:pt>
                <c:pt idx="4">
                  <c:v>Skin grafting</c:v>
                </c:pt>
                <c:pt idx="5">
                  <c:v>Open treatment of fracture</c:v>
                </c:pt>
                <c:pt idx="6">
                  <c:v>Tracheostomy </c:v>
                </c:pt>
                <c:pt idx="7">
                  <c:v>Urethral stricture  dilatation</c:v>
                </c:pt>
                <c:pt idx="8">
                  <c:v>Amputation</c:v>
                </c:pt>
                <c:pt idx="9">
                  <c:v>Cystostomy</c:v>
                </c:pt>
                <c:pt idx="10">
                  <c:v>Obstetric fistula  repair</c:v>
                </c:pt>
                <c:pt idx="11">
                  <c:v>Vasectomy</c:v>
                </c:pt>
                <c:pt idx="12">
                  <c:v>Congenital hernia repair</c:v>
                </c:pt>
                <c:pt idx="13">
                  <c:v>Appendectomy </c:v>
                </c:pt>
                <c:pt idx="14">
                  <c:v>Laparotomy</c:v>
                </c:pt>
                <c:pt idx="15">
                  <c:v>Tubal ligation </c:v>
                </c:pt>
                <c:pt idx="16">
                  <c:v>Hernia repair</c:v>
                </c:pt>
                <c:pt idx="17">
                  <c:v>Dilatation &amp; Curettage</c:v>
                </c:pt>
                <c:pt idx="18">
                  <c:v>Episiotomy, cervical and vaginal laceration </c:v>
                </c:pt>
                <c:pt idx="20">
                  <c:v>Offers Surgical Services</c:v>
                </c:pt>
              </c:strCache>
            </c:strRef>
          </c:cat>
          <c:val>
            <c:numRef>
              <c:f>'Comprehensive surgery'!$B$4:$B$24</c:f>
              <c:numCache>
                <c:formatCode>General</c:formatCode>
                <c:ptCount val="21"/>
                <c:pt idx="0">
                  <c:v>31</c:v>
                </c:pt>
                <c:pt idx="1">
                  <c:v>37</c:v>
                </c:pt>
                <c:pt idx="2">
                  <c:v>43</c:v>
                </c:pt>
                <c:pt idx="3">
                  <c:v>43</c:v>
                </c:pt>
                <c:pt idx="4">
                  <c:v>52</c:v>
                </c:pt>
                <c:pt idx="5">
                  <c:v>53</c:v>
                </c:pt>
                <c:pt idx="6">
                  <c:v>54</c:v>
                </c:pt>
                <c:pt idx="7">
                  <c:v>60</c:v>
                </c:pt>
                <c:pt idx="8">
                  <c:v>62</c:v>
                </c:pt>
                <c:pt idx="9">
                  <c:v>69</c:v>
                </c:pt>
                <c:pt idx="10">
                  <c:v>70</c:v>
                </c:pt>
                <c:pt idx="11">
                  <c:v>71</c:v>
                </c:pt>
                <c:pt idx="12">
                  <c:v>72</c:v>
                </c:pt>
                <c:pt idx="13">
                  <c:v>75</c:v>
                </c:pt>
                <c:pt idx="14">
                  <c:v>75</c:v>
                </c:pt>
                <c:pt idx="15">
                  <c:v>79</c:v>
                </c:pt>
                <c:pt idx="16">
                  <c:v>79</c:v>
                </c:pt>
                <c:pt idx="17">
                  <c:v>82</c:v>
                </c:pt>
                <c:pt idx="18">
                  <c:v>82</c:v>
                </c:pt>
                <c:pt idx="20">
                  <c:v>43</c:v>
                </c:pt>
              </c:numCache>
            </c:numRef>
          </c:val>
          <c:extLst>
            <c:ext xmlns:c16="http://schemas.microsoft.com/office/drawing/2014/chart" uri="{C3380CC4-5D6E-409C-BE32-E72D297353CC}">
              <c16:uniqueId val="{00000002-ECCD-46EB-BB5D-653285976D24}"/>
            </c:ext>
          </c:extLst>
        </c:ser>
        <c:dLbls>
          <c:showLegendKey val="0"/>
          <c:showVal val="0"/>
          <c:showCatName val="0"/>
          <c:showSerName val="0"/>
          <c:showPercent val="0"/>
          <c:showBubbleSize val="0"/>
        </c:dLbls>
        <c:gapWidth val="62"/>
        <c:axId val="377642776"/>
        <c:axId val="377643168"/>
      </c:barChart>
      <c:catAx>
        <c:axId val="3776427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643168"/>
        <c:crosses val="autoZero"/>
        <c:auto val="1"/>
        <c:lblAlgn val="ctr"/>
        <c:lblOffset val="100"/>
        <c:noMultiLvlLbl val="0"/>
      </c:catAx>
      <c:valAx>
        <c:axId val="3776431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64277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F0"/>
            </a:solidFill>
            <a:ln>
              <a:noFill/>
            </a:ln>
            <a:effectLst/>
          </c:spPr>
          <c:invertIfNegative val="0"/>
          <c:dPt>
            <c:idx val="23"/>
            <c:invertIfNegative val="0"/>
            <c:bubble3D val="0"/>
            <c:spPr>
              <a:pattFill prst="wdDnDiag">
                <a:fgClr>
                  <a:srgbClr val="00B0F0"/>
                </a:fgClr>
                <a:bgClr>
                  <a:schemeClr val="bg1"/>
                </a:bgClr>
              </a:pattFill>
              <a:ln>
                <a:solidFill>
                  <a:schemeClr val="accent1"/>
                </a:solidFill>
              </a:ln>
              <a:effectLst/>
            </c:spPr>
            <c:extLst>
              <c:ext xmlns:c16="http://schemas.microsoft.com/office/drawing/2014/chart" uri="{C3380CC4-5D6E-409C-BE32-E72D297353CC}">
                <c16:uniqueId val="{00000001-7C5E-B240-BDC5-610D38EC2A42}"/>
              </c:ext>
            </c:extLst>
          </c:dPt>
          <c:cat>
            <c:multiLvlStrRef>
              <c:f>'[Uganda_results_2019 (7).xlsx]Surgical'!$A$107:$B$130</c:f>
              <c:multiLvlStrCache>
                <c:ptCount val="24"/>
                <c:lvl>
                  <c:pt idx="0">
                    <c:v>Regional Hospital </c:v>
                  </c:pt>
                  <c:pt idx="1">
                    <c:v>General Hospital</c:v>
                  </c:pt>
                  <c:pt idx="2">
                    <c:v>HC IV</c:v>
                  </c:pt>
                  <c:pt idx="3">
                    <c:v>HC III</c:v>
                  </c:pt>
                  <c:pt idx="4">
                    <c:v>HC II</c:v>
                  </c:pt>
                  <c:pt idx="6">
                    <c:v>Public/G</c:v>
                  </c:pt>
                  <c:pt idx="7">
                    <c:v>Private</c:v>
                  </c:pt>
                  <c:pt idx="9">
                    <c:v>Urban</c:v>
                  </c:pt>
                  <c:pt idx="10">
                    <c:v>Rural</c:v>
                  </c:pt>
                  <c:pt idx="12">
                    <c:v>Karamoja</c:v>
                  </c:pt>
                  <c:pt idx="13">
                    <c:v>Central2</c:v>
                  </c:pt>
                  <c:pt idx="14">
                    <c:v>North East</c:v>
                  </c:pt>
                  <c:pt idx="15">
                    <c:v>West Nile</c:v>
                  </c:pt>
                  <c:pt idx="16">
                    <c:v>South West</c:v>
                  </c:pt>
                  <c:pt idx="17">
                    <c:v>Kampala</c:v>
                  </c:pt>
                  <c:pt idx="18">
                    <c:v>Mid East</c:v>
                  </c:pt>
                  <c:pt idx="19">
                    <c:v>Mid-North</c:v>
                  </c:pt>
                  <c:pt idx="20">
                    <c:v>Mid-West</c:v>
                  </c:pt>
                  <c:pt idx="21">
                    <c:v>Central1</c:v>
                  </c:pt>
                  <c:pt idx="22">
                    <c:v> </c:v>
                  </c:pt>
                  <c:pt idx="23">
                    <c:v>National</c:v>
                  </c:pt>
                </c:lvl>
                <c:lvl>
                  <c:pt idx="0">
                    <c:v>Facility Level </c:v>
                  </c:pt>
                  <c:pt idx="6">
                    <c:v>Ownership</c:v>
                  </c:pt>
                  <c:pt idx="9">
                    <c:v>Location</c:v>
                  </c:pt>
                  <c:pt idx="12">
                    <c:v>Health Region </c:v>
                  </c:pt>
                  <c:pt idx="23">
                    <c:v>Uganda </c:v>
                  </c:pt>
                </c:lvl>
              </c:multiLvlStrCache>
            </c:multiLvlStrRef>
          </c:cat>
          <c:val>
            <c:numRef>
              <c:f>'[Uganda_results_2019 (7).xlsx]Surgical'!$C$107:$C$130</c:f>
              <c:numCache>
                <c:formatCode>General</c:formatCode>
                <c:ptCount val="24"/>
                <c:pt idx="0">
                  <c:v>100</c:v>
                </c:pt>
                <c:pt idx="1">
                  <c:v>100</c:v>
                </c:pt>
                <c:pt idx="2">
                  <c:v>83</c:v>
                </c:pt>
                <c:pt idx="3">
                  <c:v>61</c:v>
                </c:pt>
                <c:pt idx="4">
                  <c:v>30</c:v>
                </c:pt>
                <c:pt idx="6">
                  <c:v>38</c:v>
                </c:pt>
                <c:pt idx="7">
                  <c:v>48</c:v>
                </c:pt>
                <c:pt idx="9">
                  <c:v>46</c:v>
                </c:pt>
                <c:pt idx="10">
                  <c:v>40</c:v>
                </c:pt>
                <c:pt idx="12">
                  <c:v>1</c:v>
                </c:pt>
                <c:pt idx="13">
                  <c:v>29</c:v>
                </c:pt>
                <c:pt idx="14">
                  <c:v>33</c:v>
                </c:pt>
                <c:pt idx="15">
                  <c:v>33</c:v>
                </c:pt>
                <c:pt idx="16">
                  <c:v>36</c:v>
                </c:pt>
                <c:pt idx="17">
                  <c:v>42</c:v>
                </c:pt>
                <c:pt idx="18">
                  <c:v>47</c:v>
                </c:pt>
                <c:pt idx="19">
                  <c:v>51</c:v>
                </c:pt>
                <c:pt idx="20">
                  <c:v>62</c:v>
                </c:pt>
                <c:pt idx="21">
                  <c:v>65</c:v>
                </c:pt>
                <c:pt idx="23">
                  <c:v>43</c:v>
                </c:pt>
              </c:numCache>
            </c:numRef>
          </c:val>
          <c:extLst>
            <c:ext xmlns:c16="http://schemas.microsoft.com/office/drawing/2014/chart" uri="{C3380CC4-5D6E-409C-BE32-E72D297353CC}">
              <c16:uniqueId val="{00000002-7C5E-B240-BDC5-610D38EC2A42}"/>
            </c:ext>
          </c:extLst>
        </c:ser>
        <c:dLbls>
          <c:showLegendKey val="0"/>
          <c:showVal val="0"/>
          <c:showCatName val="0"/>
          <c:showSerName val="0"/>
          <c:showPercent val="0"/>
          <c:showBubbleSize val="0"/>
        </c:dLbls>
        <c:gapWidth val="62"/>
        <c:overlap val="-27"/>
        <c:axId val="308988480"/>
        <c:axId val="308988872"/>
      </c:barChart>
      <c:catAx>
        <c:axId val="30898848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988872"/>
        <c:crosses val="autoZero"/>
        <c:auto val="1"/>
        <c:lblAlgn val="ctr"/>
        <c:lblOffset val="100"/>
        <c:noMultiLvlLbl val="0"/>
      </c:catAx>
      <c:valAx>
        <c:axId val="30898887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98848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00B0F0"/>
            </a:solidFill>
            <a:ln>
              <a:noFill/>
            </a:ln>
            <a:effectLst/>
          </c:spPr>
          <c:invertIfNegative val="0"/>
          <c:dPt>
            <c:idx val="57"/>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1-16FF-43CB-9C8C-D3AE903BA527}"/>
              </c:ext>
            </c:extLst>
          </c:dPt>
          <c:dPt>
            <c:idx val="58"/>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3-16FF-43CB-9C8C-D3AE903BA527}"/>
              </c:ext>
            </c:extLst>
          </c:dPt>
          <c:cat>
            <c:strRef>
              <c:f>[Uganda_results_2019.xlsx]Surgical!$A$44:$A$102</c:f>
              <c:strCache>
                <c:ptCount val="59"/>
                <c:pt idx="0">
                  <c:v>Material for cast </c:v>
                </c:pt>
                <c:pt idx="1">
                  <c:v>Staff trained in surgery </c:v>
                </c:pt>
                <c:pt idx="2">
                  <c:v>Splints for extremities </c:v>
                </c:pt>
                <c:pt idx="3">
                  <c:v>Central oxygen supply-   
Facility   Available and functional  
</c:v>
                </c:pt>
                <c:pt idx="4">
                  <c:v>Staff trained in anesthesia </c:v>
                </c:pt>
                <c:pt idx="5">
                  <c:v>Availability of oxygen in the
three months preceding the 
Facility survey 
Availability of oxygen in the
three months preceding the 
Facility survey 
</c:v>
                </c:pt>
                <c:pt idx="6">
                  <c:v>Suction pump (manual or   
 electric) with catheter-  
Facility Available and functional 
</c:v>
                </c:pt>
                <c:pt idx="7">
                  <c:v>Retractor Available and Functioning</c:v>
                </c:pt>
                <c:pt idx="8">
                  <c:v>Stylet Available and    
Facility        functional
</c:v>
                </c:pt>
                <c:pt idx="9">
                  <c:v>Resuscitator bag and masks -adults Available and functoning</c:v>
                </c:pt>
                <c:pt idx="10">
                  <c:v>Ketamine injection </c:v>
                </c:pt>
                <c:pt idx="11">
                  <c:v>Hand Washing Soap</c:v>
                </c:pt>
                <c:pt idx="12">
                  <c:v>Nasogastric tubes Available and Funtioning</c:v>
                </c:pt>
                <c:pt idx="13">
                  <c:v>Clean running water</c:v>
                </c:pt>
                <c:pt idx="14">
                  <c:v>Endotracheal tube paediatric-
uncuffed size 3-5- Available
Facility and functional 
</c:v>
                </c:pt>
                <c:pt idx="15">
                  <c:v>Endotracheal tube neonatal 
uncuffed size below 3   
Facility Available and functional
</c:v>
                </c:pt>
                <c:pt idx="16">
                  <c:v>Scalpel handle with blades- Available and Functioning</c:v>
                </c:pt>
                <c:pt idx="17">
                  <c:v>Resuscitator bag and masks-Pediatric Available and functoning</c:v>
                </c:pt>
                <c:pt idx="18">
                  <c:v>Endotracheal tube adult-  
cuffed sizes 5.5-9.0   
Facility   Available and functional
</c:v>
                </c:pt>
                <c:pt idx="19">
                  <c:v>Waste receptacle (pedal bin) with lid and plastic bin 
Facility liner  
</c:v>
                </c:pt>
                <c:pt idx="20">
                  <c:v>Laryngoscope handle and   
blade- pediatric- Available 
Facility and functional 
</c:v>
                </c:pt>
                <c:pt idx="21">
                  <c:v>Tourniquet  Available and Functioning</c:v>
                </c:pt>
                <c:pt idx="22">
                  <c:v>Magills forceps pediatric
Facility  Available and functional
</c:v>
                </c:pt>
                <c:pt idx="23">
                  <c:v>Surgical scissors Available and Functioning</c:v>
                </c:pt>
                <c:pt idx="24">
                  <c:v>Laryngoscope handle and   
 blade neonatal Available 
Facility  and functional 
</c:v>
                </c:pt>
                <c:pt idx="25">
                  <c:v> Anaesthesia machine-    
Facility Available and functional 
</c:v>
                </c:pt>
                <c:pt idx="26">
                  <c:v> Laryngoscope handle and   
blade- adult- Available and 
Facility      functional 
</c:v>
                </c:pt>
                <c:pt idx="27">
                  <c:v>Tubings and connectors 
Facility Available and functional 
</c:v>
                </c:pt>
                <c:pt idx="28">
                  <c:v>Flowmeter for oxygen therapy-
Facility  Available and functional 
</c:v>
                </c:pt>
                <c:pt idx="29">
                  <c:v>Suxamethonium bromide </c:v>
                </c:pt>
                <c:pt idx="30">
                  <c:v>Epinephrine  </c:v>
                </c:pt>
                <c:pt idx="31">
                  <c:v>Needle holder- Available and Functioning</c:v>
                </c:pt>
                <c:pt idx="32">
                  <c:v>Spinal needle Available and
Facility        functional 
</c:v>
                </c:pt>
                <c:pt idx="33">
                  <c:v>Oxygen cylinders Available 
Facility       and functional 
</c:v>
                </c:pt>
                <c:pt idx="34">
                  <c:v>Thiopental (powder) </c:v>
                </c:pt>
                <c:pt idx="35">
                  <c:v>Magills forceps adult Facility Available and functional
</c:v>
                </c:pt>
                <c:pt idx="36">
                  <c:v>Staff trained on integrated mgt of emergency and Facility  essential surgical care  
</c:v>
                </c:pt>
                <c:pt idx="37">
                  <c:v>Oxygen delivery apparatus- 
Facility Available and functional 
</c:v>
                </c:pt>
                <c:pt idx="38">
                  <c:v> Halothane inhalation </c:v>
                </c:pt>
                <c:pt idx="39">
                  <c:v>Lidocaine 5% heavy spinal </c:v>
                </c:pt>
                <c:pt idx="40">
                  <c:v>Bupivacaine (Injection) </c:v>
                </c:pt>
                <c:pt idx="41">
                  <c:v>Environmental disinfectant 
Facility  (e.g. chlorine, alcohol) 
</c:v>
                </c:pt>
                <c:pt idx="42">
                  <c:v>Newborn bag and mask size 1 
for term babies- Available Facility and functional 
</c:v>
                </c:pt>
                <c:pt idx="43">
                  <c:v> Oxygen concentrators  
Facility  Available and functional
</c:v>
                </c:pt>
                <c:pt idx="44">
                  <c:v>Disposable syringes with  
Facility   disposable needles 
</c:v>
                </c:pt>
                <c:pt idx="45">
                  <c:v>Surgical latex gloves </c:v>
                </c:pt>
                <c:pt idx="46">
                  <c:v>Diazepam injection </c:v>
                </c:pt>
                <c:pt idx="47">
                  <c:v>Oropharyngeal airway pediatric- Available and  
Facility       functional 
</c:v>
                </c:pt>
                <c:pt idx="48">
                  <c:v>Alcohol based hand rub  </c:v>
                </c:pt>
                <c:pt idx="49">
                  <c:v>Auto disable syringes </c:v>
                </c:pt>
                <c:pt idx="50">
                  <c:v> Atropine injection </c:v>
                </c:pt>
                <c:pt idx="51">
                  <c:v>Oropharyngeal airway adult
Facility  Available and functional 
</c:v>
                </c:pt>
                <c:pt idx="52">
                  <c:v>Suture material </c:v>
                </c:pt>
                <c:pt idx="53">
                  <c:v>Sharps container (safety box)</c:v>
                </c:pt>
                <c:pt idx="54">
                  <c:v>Skin disinfectant  </c:v>
                </c:pt>
                <c:pt idx="55">
                  <c:v>Lidocaine 1% or 2% </c:v>
                </c:pt>
                <c:pt idx="57">
                  <c:v>Availability of all tracer surgical items items</c:v>
                </c:pt>
                <c:pt idx="58">
                  <c:v>Mean availabilty of surgical equipment that were enquired about</c:v>
                </c:pt>
              </c:strCache>
            </c:strRef>
          </c:cat>
          <c:val>
            <c:numRef>
              <c:f>[Uganda_results_2019.xlsx]Surgical!$B$44:$B$102</c:f>
              <c:numCache>
                <c:formatCode>General</c:formatCode>
                <c:ptCount val="59"/>
                <c:pt idx="0">
                  <c:v>24</c:v>
                </c:pt>
                <c:pt idx="1">
                  <c:v>25</c:v>
                </c:pt>
                <c:pt idx="2">
                  <c:v>26</c:v>
                </c:pt>
                <c:pt idx="3">
                  <c:v>31</c:v>
                </c:pt>
                <c:pt idx="4">
                  <c:v>32</c:v>
                </c:pt>
                <c:pt idx="5">
                  <c:v>33</c:v>
                </c:pt>
                <c:pt idx="6">
                  <c:v>38</c:v>
                </c:pt>
                <c:pt idx="7">
                  <c:v>40</c:v>
                </c:pt>
                <c:pt idx="8">
                  <c:v>40</c:v>
                </c:pt>
                <c:pt idx="9">
                  <c:v>41</c:v>
                </c:pt>
                <c:pt idx="10">
                  <c:v>43</c:v>
                </c:pt>
                <c:pt idx="11">
                  <c:v>43</c:v>
                </c:pt>
                <c:pt idx="12">
                  <c:v>46</c:v>
                </c:pt>
                <c:pt idx="13">
                  <c:v>46</c:v>
                </c:pt>
                <c:pt idx="14">
                  <c:v>47</c:v>
                </c:pt>
                <c:pt idx="15">
                  <c:v>49</c:v>
                </c:pt>
                <c:pt idx="16">
                  <c:v>53</c:v>
                </c:pt>
                <c:pt idx="17">
                  <c:v>54</c:v>
                </c:pt>
                <c:pt idx="18">
                  <c:v>54</c:v>
                </c:pt>
                <c:pt idx="19">
                  <c:v>54</c:v>
                </c:pt>
                <c:pt idx="20">
                  <c:v>55</c:v>
                </c:pt>
                <c:pt idx="21">
                  <c:v>56</c:v>
                </c:pt>
                <c:pt idx="22">
                  <c:v>57</c:v>
                </c:pt>
                <c:pt idx="23">
                  <c:v>58</c:v>
                </c:pt>
                <c:pt idx="24">
                  <c:v>58</c:v>
                </c:pt>
                <c:pt idx="25">
                  <c:v>58</c:v>
                </c:pt>
                <c:pt idx="26">
                  <c:v>59</c:v>
                </c:pt>
                <c:pt idx="27">
                  <c:v>60</c:v>
                </c:pt>
                <c:pt idx="28">
                  <c:v>60</c:v>
                </c:pt>
                <c:pt idx="29">
                  <c:v>61</c:v>
                </c:pt>
                <c:pt idx="30">
                  <c:v>61</c:v>
                </c:pt>
                <c:pt idx="31">
                  <c:v>62</c:v>
                </c:pt>
                <c:pt idx="32">
                  <c:v>62</c:v>
                </c:pt>
                <c:pt idx="33">
                  <c:v>63</c:v>
                </c:pt>
                <c:pt idx="34">
                  <c:v>63</c:v>
                </c:pt>
                <c:pt idx="35">
                  <c:v>64</c:v>
                </c:pt>
                <c:pt idx="36">
                  <c:v>64</c:v>
                </c:pt>
                <c:pt idx="37">
                  <c:v>66</c:v>
                </c:pt>
                <c:pt idx="38">
                  <c:v>69</c:v>
                </c:pt>
                <c:pt idx="39">
                  <c:v>69</c:v>
                </c:pt>
                <c:pt idx="40">
                  <c:v>70</c:v>
                </c:pt>
                <c:pt idx="41">
                  <c:v>71</c:v>
                </c:pt>
                <c:pt idx="42">
                  <c:v>73</c:v>
                </c:pt>
                <c:pt idx="43">
                  <c:v>73</c:v>
                </c:pt>
                <c:pt idx="44">
                  <c:v>73</c:v>
                </c:pt>
                <c:pt idx="45">
                  <c:v>74</c:v>
                </c:pt>
                <c:pt idx="46">
                  <c:v>75</c:v>
                </c:pt>
                <c:pt idx="47">
                  <c:v>76</c:v>
                </c:pt>
                <c:pt idx="48">
                  <c:v>76</c:v>
                </c:pt>
                <c:pt idx="49">
                  <c:v>76</c:v>
                </c:pt>
                <c:pt idx="50">
                  <c:v>78</c:v>
                </c:pt>
                <c:pt idx="51">
                  <c:v>80</c:v>
                </c:pt>
                <c:pt idx="52">
                  <c:v>82</c:v>
                </c:pt>
                <c:pt idx="53">
                  <c:v>83</c:v>
                </c:pt>
                <c:pt idx="54">
                  <c:v>84</c:v>
                </c:pt>
                <c:pt idx="55">
                  <c:v>84</c:v>
                </c:pt>
                <c:pt idx="57">
                  <c:v>53</c:v>
                </c:pt>
                <c:pt idx="58">
                  <c:v>63</c:v>
                </c:pt>
              </c:numCache>
            </c:numRef>
          </c:val>
          <c:extLst>
            <c:ext xmlns:c16="http://schemas.microsoft.com/office/drawing/2014/chart" uri="{C3380CC4-5D6E-409C-BE32-E72D297353CC}">
              <c16:uniqueId val="{00000004-16FF-43CB-9C8C-D3AE903BA527}"/>
            </c:ext>
          </c:extLst>
        </c:ser>
        <c:dLbls>
          <c:showLegendKey val="0"/>
          <c:showVal val="0"/>
          <c:showCatName val="0"/>
          <c:showSerName val="0"/>
          <c:showPercent val="0"/>
          <c:showBubbleSize val="0"/>
        </c:dLbls>
        <c:gapWidth val="62"/>
        <c:axId val="308989264"/>
        <c:axId val="308989656"/>
      </c:barChart>
      <c:catAx>
        <c:axId val="308989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08989656"/>
        <c:crosses val="autoZero"/>
        <c:auto val="1"/>
        <c:lblAlgn val="l"/>
        <c:lblOffset val="100"/>
        <c:noMultiLvlLbl val="0"/>
      </c:catAx>
      <c:valAx>
        <c:axId val="308989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98926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FF9900"/>
            </a:solidFill>
            <a:ln>
              <a:noFill/>
            </a:ln>
            <a:effectLst/>
          </c:spPr>
          <c:invertIfNegative val="0"/>
          <c:dPt>
            <c:idx val="23"/>
            <c:invertIfNegative val="0"/>
            <c:bubble3D val="0"/>
            <c:spPr>
              <a:pattFill prst="wdDnDiag">
                <a:fgClr>
                  <a:srgbClr val="FF9900"/>
                </a:fgClr>
                <a:bgClr>
                  <a:schemeClr val="bg1"/>
                </a:bgClr>
              </a:pattFill>
              <a:ln>
                <a:solidFill>
                  <a:schemeClr val="tx1"/>
                </a:solidFill>
              </a:ln>
              <a:effectLst/>
            </c:spPr>
            <c:extLst>
              <c:ext xmlns:c16="http://schemas.microsoft.com/office/drawing/2014/chart" uri="{C3380CC4-5D6E-409C-BE32-E72D297353CC}">
                <c16:uniqueId val="{00000001-6633-4C4E-AFE2-95437FEBD558}"/>
              </c:ext>
            </c:extLst>
          </c:dPt>
          <c:cat>
            <c:multiLvlStrRef>
              <c:f>Malaria!$A$53:$B$76</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South West</c:v>
                  </c:pt>
                  <c:pt idx="13">
                    <c:v>Kampala</c:v>
                  </c:pt>
                  <c:pt idx="14">
                    <c:v>Central1</c:v>
                  </c:pt>
                  <c:pt idx="15">
                    <c:v>Central2</c:v>
                  </c:pt>
                  <c:pt idx="16">
                    <c:v>Karamoja</c:v>
                  </c:pt>
                  <c:pt idx="17">
                    <c:v>Mid East</c:v>
                  </c:pt>
                  <c:pt idx="18">
                    <c:v>Mid-North</c:v>
                  </c:pt>
                  <c:pt idx="19">
                    <c:v>Mid-West</c:v>
                  </c:pt>
                  <c:pt idx="20">
                    <c:v>North East</c:v>
                  </c:pt>
                  <c:pt idx="21">
                    <c:v>West Nile</c:v>
                  </c:pt>
                  <c:pt idx="23">
                    <c:v>National</c:v>
                  </c:pt>
                </c:lvl>
                <c:lvl>
                  <c:pt idx="0">
                    <c:v>Facility Level </c:v>
                  </c:pt>
                  <c:pt idx="6">
                    <c:v>Ownership</c:v>
                  </c:pt>
                  <c:pt idx="9">
                    <c:v>Location</c:v>
                  </c:pt>
                  <c:pt idx="12">
                    <c:v>Health Region </c:v>
                  </c:pt>
                  <c:pt idx="23">
                    <c:v>Uganda </c:v>
                  </c:pt>
                </c:lvl>
              </c:multiLvlStrCache>
            </c:multiLvlStrRef>
          </c:cat>
          <c:val>
            <c:numRef>
              <c:f>Malaria!$C$53:$C$76</c:f>
              <c:numCache>
                <c:formatCode>General</c:formatCode>
                <c:ptCount val="24"/>
                <c:pt idx="0">
                  <c:v>100</c:v>
                </c:pt>
                <c:pt idx="1">
                  <c:v>100</c:v>
                </c:pt>
                <c:pt idx="2">
                  <c:v>100</c:v>
                </c:pt>
                <c:pt idx="3">
                  <c:v>98</c:v>
                </c:pt>
                <c:pt idx="4">
                  <c:v>96</c:v>
                </c:pt>
                <c:pt idx="6">
                  <c:v>97</c:v>
                </c:pt>
                <c:pt idx="7">
                  <c:v>97</c:v>
                </c:pt>
                <c:pt idx="9">
                  <c:v>93</c:v>
                </c:pt>
                <c:pt idx="10">
                  <c:v>100</c:v>
                </c:pt>
                <c:pt idx="12">
                  <c:v>91</c:v>
                </c:pt>
                <c:pt idx="13">
                  <c:v>93</c:v>
                </c:pt>
                <c:pt idx="14">
                  <c:v>100</c:v>
                </c:pt>
                <c:pt idx="15">
                  <c:v>100</c:v>
                </c:pt>
                <c:pt idx="16">
                  <c:v>100</c:v>
                </c:pt>
                <c:pt idx="17">
                  <c:v>100</c:v>
                </c:pt>
                <c:pt idx="18">
                  <c:v>100</c:v>
                </c:pt>
                <c:pt idx="19">
                  <c:v>100</c:v>
                </c:pt>
                <c:pt idx="20">
                  <c:v>100</c:v>
                </c:pt>
                <c:pt idx="21">
                  <c:v>100</c:v>
                </c:pt>
                <c:pt idx="23">
                  <c:v>97</c:v>
                </c:pt>
              </c:numCache>
            </c:numRef>
          </c:val>
          <c:extLst>
            <c:ext xmlns:c16="http://schemas.microsoft.com/office/drawing/2014/chart" uri="{C3380CC4-5D6E-409C-BE32-E72D297353CC}">
              <c16:uniqueId val="{00000002-6633-4C4E-AFE2-95437FEBD558}"/>
            </c:ext>
          </c:extLst>
        </c:ser>
        <c:dLbls>
          <c:showLegendKey val="0"/>
          <c:showVal val="0"/>
          <c:showCatName val="0"/>
          <c:showSerName val="0"/>
          <c:showPercent val="0"/>
          <c:showBubbleSize val="0"/>
        </c:dLbls>
        <c:gapWidth val="62"/>
        <c:overlap val="-27"/>
        <c:axId val="308990832"/>
        <c:axId val="308991224"/>
      </c:barChart>
      <c:catAx>
        <c:axId val="30899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991224"/>
        <c:crosses val="autoZero"/>
        <c:auto val="1"/>
        <c:lblAlgn val="ctr"/>
        <c:lblOffset val="100"/>
        <c:noMultiLvlLbl val="0"/>
      </c:catAx>
      <c:valAx>
        <c:axId val="30899122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99083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4"/>
            </a:solidFill>
            <a:ln>
              <a:noFill/>
            </a:ln>
            <a:effectLst/>
          </c:spPr>
          <c:invertIfNegative val="0"/>
          <c:dPt>
            <c:idx val="0"/>
            <c:invertIfNegative val="0"/>
            <c:bubble3D val="0"/>
            <c:spPr>
              <a:pattFill prst="wdDnDiag">
                <a:fgClr>
                  <a:schemeClr val="accent4"/>
                </a:fgClr>
                <a:bgClr>
                  <a:schemeClr val="bg1"/>
                </a:bgClr>
              </a:pattFill>
              <a:ln>
                <a:solidFill>
                  <a:schemeClr val="accent1"/>
                </a:solidFill>
              </a:ln>
              <a:effectLst/>
            </c:spPr>
            <c:extLst>
              <c:ext xmlns:c16="http://schemas.microsoft.com/office/drawing/2014/chart" uri="{C3380CC4-5D6E-409C-BE32-E72D297353CC}">
                <c16:uniqueId val="{00000001-0E60-4DBB-9C01-05D71567AFAA}"/>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Malaria!$A$5:$A$8</c:f>
              <c:strCache>
                <c:ptCount val="4"/>
                <c:pt idx="0">
                  <c:v>Malaria services Offered</c:v>
                </c:pt>
                <c:pt idx="2">
                  <c:v>Prescribe treatment for malaria</c:v>
                </c:pt>
                <c:pt idx="3">
                  <c:v>Diagnose malaria</c:v>
                </c:pt>
              </c:strCache>
            </c:strRef>
          </c:cat>
          <c:val>
            <c:numRef>
              <c:f>Malaria!$B$5:$B$8</c:f>
              <c:numCache>
                <c:formatCode>General</c:formatCode>
                <c:ptCount val="4"/>
                <c:pt idx="0">
                  <c:v>97</c:v>
                </c:pt>
                <c:pt idx="2">
                  <c:v>100</c:v>
                </c:pt>
                <c:pt idx="3">
                  <c:v>98</c:v>
                </c:pt>
              </c:numCache>
            </c:numRef>
          </c:val>
          <c:extLst>
            <c:ext xmlns:c16="http://schemas.microsoft.com/office/drawing/2014/chart" uri="{C3380CC4-5D6E-409C-BE32-E72D297353CC}">
              <c16:uniqueId val="{00000002-0E60-4DBB-9C01-05D71567AFAA}"/>
            </c:ext>
          </c:extLst>
        </c:ser>
        <c:dLbls>
          <c:dLblPos val="inEnd"/>
          <c:showLegendKey val="0"/>
          <c:showVal val="1"/>
          <c:showCatName val="0"/>
          <c:showSerName val="0"/>
          <c:showPercent val="0"/>
          <c:showBubbleSize val="0"/>
        </c:dLbls>
        <c:gapWidth val="219"/>
        <c:overlap val="-27"/>
        <c:axId val="308991616"/>
        <c:axId val="308992008"/>
      </c:barChart>
      <c:catAx>
        <c:axId val="308991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308992008"/>
        <c:crosses val="autoZero"/>
        <c:auto val="1"/>
        <c:lblAlgn val="ctr"/>
        <c:lblOffset val="100"/>
        <c:noMultiLvlLbl val="0"/>
      </c:catAx>
      <c:valAx>
        <c:axId val="308992008"/>
        <c:scaling>
          <c:orientation val="minMax"/>
          <c:max val="100"/>
          <c:min val="9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99161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Malaria!$A$84:$A$87</c:f>
              <c:strCache>
                <c:ptCount val="4"/>
                <c:pt idx="0">
                  <c:v>Staff trained malaria diagnosis</c:v>
                </c:pt>
                <c:pt idx="1">
                  <c:v>Staff trained malaria treatment</c:v>
                </c:pt>
                <c:pt idx="2">
                  <c:v>IPT for malaria</c:v>
                </c:pt>
                <c:pt idx="3">
                  <c:v>Guidelines  diagnosis/treatment</c:v>
                </c:pt>
              </c:strCache>
            </c:strRef>
          </c:cat>
          <c:val>
            <c:numRef>
              <c:f>Malaria!$B$84:$B$87</c:f>
              <c:numCache>
                <c:formatCode>General</c:formatCode>
                <c:ptCount val="4"/>
                <c:pt idx="0">
                  <c:v>64</c:v>
                </c:pt>
                <c:pt idx="1">
                  <c:v>72</c:v>
                </c:pt>
                <c:pt idx="2">
                  <c:v>83</c:v>
                </c:pt>
                <c:pt idx="3">
                  <c:v>83</c:v>
                </c:pt>
              </c:numCache>
            </c:numRef>
          </c:val>
          <c:extLst>
            <c:ext xmlns:c16="http://schemas.microsoft.com/office/drawing/2014/chart" uri="{C3380CC4-5D6E-409C-BE32-E72D297353CC}">
              <c16:uniqueId val="{00000000-FCF7-4388-BED7-5125C7C36CD8}"/>
            </c:ext>
          </c:extLst>
        </c:ser>
        <c:dLbls>
          <c:showLegendKey val="0"/>
          <c:showVal val="0"/>
          <c:showCatName val="0"/>
          <c:showSerName val="0"/>
          <c:showPercent val="0"/>
          <c:showBubbleSize val="0"/>
        </c:dLbls>
        <c:gapWidth val="219"/>
        <c:overlap val="-27"/>
        <c:axId val="367019144"/>
        <c:axId val="367019536"/>
      </c:barChart>
      <c:catAx>
        <c:axId val="367019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19536"/>
        <c:crosses val="autoZero"/>
        <c:auto val="1"/>
        <c:lblAlgn val="ctr"/>
        <c:lblOffset val="100"/>
        <c:noMultiLvlLbl val="0"/>
      </c:catAx>
      <c:valAx>
        <c:axId val="367019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1914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4"/>
            </a:solidFill>
            <a:ln>
              <a:noFill/>
            </a:ln>
            <a:effectLst/>
          </c:spPr>
          <c:invertIfNegative val="0"/>
          <c:dPt>
            <c:idx val="0"/>
            <c:invertIfNegative val="0"/>
            <c:bubble3D val="0"/>
            <c:spPr>
              <a:pattFill prst="wdDnDiag">
                <a:fgClr>
                  <a:schemeClr val="accent4"/>
                </a:fgClr>
                <a:bgClr>
                  <a:schemeClr val="bg1"/>
                </a:bgClr>
              </a:pattFill>
              <a:ln>
                <a:solidFill>
                  <a:schemeClr val="tx1"/>
                </a:solidFill>
              </a:ln>
              <a:effectLst/>
            </c:spPr>
            <c:extLst>
              <c:ext xmlns:c16="http://schemas.microsoft.com/office/drawing/2014/chart" uri="{C3380CC4-5D6E-409C-BE32-E72D297353CC}">
                <c16:uniqueId val="{00000001-0D78-466A-8C7D-89DFEC38E2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Malaria!$A$30:$A$34</c:f>
              <c:strCache>
                <c:ptCount val="5"/>
                <c:pt idx="0">
                  <c:v>Diagnose malaria</c:v>
                </c:pt>
                <c:pt idx="2">
                  <c:v>Clinical symptoms</c:v>
                </c:pt>
                <c:pt idx="3">
                  <c:v> Microscopy </c:v>
                </c:pt>
                <c:pt idx="4">
                  <c:v> Rapid diagnostic testing (RDT)</c:v>
                </c:pt>
              </c:strCache>
            </c:strRef>
          </c:cat>
          <c:val>
            <c:numRef>
              <c:f>Malaria!$B$30:$B$34</c:f>
              <c:numCache>
                <c:formatCode>General</c:formatCode>
                <c:ptCount val="5"/>
                <c:pt idx="0">
                  <c:v>98</c:v>
                </c:pt>
                <c:pt idx="2">
                  <c:v>65</c:v>
                </c:pt>
                <c:pt idx="3">
                  <c:v>65</c:v>
                </c:pt>
                <c:pt idx="4">
                  <c:v>94</c:v>
                </c:pt>
              </c:numCache>
            </c:numRef>
          </c:val>
          <c:extLst>
            <c:ext xmlns:c16="http://schemas.microsoft.com/office/drawing/2014/chart" uri="{C3380CC4-5D6E-409C-BE32-E72D297353CC}">
              <c16:uniqueId val="{00000002-0D78-466A-8C7D-89DFEC38E2B0}"/>
            </c:ext>
          </c:extLst>
        </c:ser>
        <c:dLbls>
          <c:showLegendKey val="0"/>
          <c:showVal val="0"/>
          <c:showCatName val="0"/>
          <c:showSerName val="0"/>
          <c:showPercent val="0"/>
          <c:showBubbleSize val="0"/>
        </c:dLbls>
        <c:gapWidth val="219"/>
        <c:overlap val="-27"/>
        <c:axId val="367020320"/>
        <c:axId val="367020712"/>
      </c:barChart>
      <c:catAx>
        <c:axId val="367020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20712"/>
        <c:crosses val="autoZero"/>
        <c:auto val="1"/>
        <c:lblAlgn val="ctr"/>
        <c:lblOffset val="100"/>
        <c:noMultiLvlLbl val="0"/>
      </c:catAx>
      <c:valAx>
        <c:axId val="367020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2032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2">
                <a:lumMod val="60000"/>
                <a:lumOff val="40000"/>
              </a:schemeClr>
            </a:solidFill>
            <a:ln>
              <a:noFill/>
            </a:ln>
            <a:effectLst/>
          </c:spPr>
          <c:invertIfNegative val="0"/>
          <c:dPt>
            <c:idx val="5"/>
            <c:invertIfNegative val="0"/>
            <c:bubble3D val="0"/>
            <c:spPr>
              <a:pattFill prst="wdDnDiag">
                <a:fgClr>
                  <a:schemeClr val="accent2">
                    <a:lumMod val="60000"/>
                    <a:lumOff val="40000"/>
                  </a:schemeClr>
                </a:fgClr>
                <a:bgClr>
                  <a:schemeClr val="bg1"/>
                </a:bgClr>
              </a:pattFill>
              <a:ln>
                <a:solidFill>
                  <a:schemeClr val="tx1"/>
                </a:solidFill>
              </a:ln>
              <a:effectLst/>
            </c:spPr>
            <c:extLst>
              <c:ext xmlns:c16="http://schemas.microsoft.com/office/drawing/2014/chart" uri="{C3380CC4-5D6E-409C-BE32-E72D297353CC}">
                <c16:uniqueId val="{00000001-5F80-4CEA-AD92-135DEFE51E23}"/>
              </c:ext>
            </c:extLst>
          </c:dPt>
          <c:dLbls>
            <c:dLbl>
              <c:idx val="2"/>
              <c:tx>
                <c:rich>
                  <a:bodyPr/>
                  <a:lstStyle/>
                  <a:p>
                    <a:r>
                      <a:rPr lang="en-US"/>
                      <a:t>52</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F80-4CEA-AD92-135DEFE51E23}"/>
                </c:ext>
              </c:extLst>
            </c:dLbl>
            <c:dLbl>
              <c:idx val="4"/>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noAutofit/>
                </a:bodyPr>
                <a:lstStyle/>
                <a:p>
                  <a:pPr>
                    <a:defRPr sz="900" b="1" i="0" u="none" strike="noStrike" kern="1200" baseline="0">
                      <a:solidFill>
                        <a:schemeClr val="dk1">
                          <a:lumMod val="65000"/>
                          <a:lumOff val="3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3-5F80-4CEA-AD92-135DEFE51E2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[Uganda_results_2019.xlsx]Malaria!$A$85:$B$90</c:f>
              <c:multiLvlStrCache>
                <c:ptCount val="6"/>
                <c:lvl>
                  <c:pt idx="0">
                    <c:v> &gt;14 days</c:v>
                  </c:pt>
                  <c:pt idx="1">
                    <c:v> 7-14 day</c:v>
                  </c:pt>
                  <c:pt idx="2">
                    <c:v>&lt;7 days</c:v>
                  </c:pt>
                  <c:pt idx="4">
                    <c:v>RDT stock-out in the past 4weeks</c:v>
                  </c:pt>
                  <c:pt idx="5">
                    <c:v>Malaria RDT kits available at facility</c:v>
                  </c:pt>
                </c:lvl>
                <c:lvl>
                  <c:pt idx="0">
                    <c:v>No. of days of RDT stockout</c:v>
                  </c:pt>
                  <c:pt idx="4">
                    <c:v>Stocks of RDT kits</c:v>
                  </c:pt>
                </c:lvl>
              </c:multiLvlStrCache>
            </c:multiLvlStrRef>
          </c:cat>
          <c:val>
            <c:numRef>
              <c:f>[Uganda_results_2019.xlsx]Malaria!$C$85:$C$90</c:f>
              <c:numCache>
                <c:formatCode>General</c:formatCode>
                <c:ptCount val="6"/>
                <c:pt idx="0">
                  <c:v>28</c:v>
                </c:pt>
                <c:pt idx="1">
                  <c:v>20</c:v>
                </c:pt>
                <c:pt idx="2">
                  <c:v>52</c:v>
                </c:pt>
                <c:pt idx="4">
                  <c:v>29</c:v>
                </c:pt>
                <c:pt idx="5">
                  <c:v>96</c:v>
                </c:pt>
              </c:numCache>
            </c:numRef>
          </c:val>
          <c:extLst>
            <c:ext xmlns:c16="http://schemas.microsoft.com/office/drawing/2014/chart" uri="{C3380CC4-5D6E-409C-BE32-E72D297353CC}">
              <c16:uniqueId val="{00000002-5F80-4CEA-AD92-135DEFE51E23}"/>
            </c:ext>
          </c:extLst>
        </c:ser>
        <c:dLbls>
          <c:showLegendKey val="0"/>
          <c:showVal val="0"/>
          <c:showCatName val="0"/>
          <c:showSerName val="0"/>
          <c:showPercent val="0"/>
          <c:showBubbleSize val="0"/>
        </c:dLbls>
        <c:gapWidth val="62"/>
        <c:axId val="367021496"/>
        <c:axId val="367021888"/>
      </c:barChart>
      <c:catAx>
        <c:axId val="3670214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21888"/>
        <c:crosses val="autoZero"/>
        <c:auto val="1"/>
        <c:lblAlgn val="ctr"/>
        <c:lblOffset val="100"/>
        <c:noMultiLvlLbl val="0"/>
      </c:catAx>
      <c:valAx>
        <c:axId val="367021888"/>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2149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FamilyPlanning_Avail!$B$83</c:f>
              <c:strCache>
                <c:ptCount val="1"/>
                <c:pt idx="0">
                  <c:v>Percent of facilities</c:v>
                </c:pt>
              </c:strCache>
            </c:strRef>
          </c:tx>
          <c:spPr>
            <a:solidFill>
              <a:schemeClr val="accent1">
                <a:lumMod val="60000"/>
                <a:lumOff val="40000"/>
              </a:schemeClr>
            </a:solidFill>
            <a:ln>
              <a:noFill/>
            </a:ln>
            <a:effectLst/>
          </c:spPr>
          <c:invertIfNegative val="0"/>
          <c:dPt>
            <c:idx val="13"/>
            <c:invertIfNegative val="0"/>
            <c:bubble3D val="0"/>
            <c:spPr>
              <a:solidFill>
                <a:srgbClr val="0033CC"/>
              </a:solidFill>
              <a:ln>
                <a:solidFill>
                  <a:srgbClr val="0033CC"/>
                </a:solidFill>
              </a:ln>
              <a:effectLst/>
            </c:spPr>
            <c:extLst>
              <c:ext xmlns:c16="http://schemas.microsoft.com/office/drawing/2014/chart" uri="{C3380CC4-5D6E-409C-BE32-E72D297353CC}">
                <c16:uniqueId val="{00000001-4EEA-4FCE-82A7-079A4B7E6D86}"/>
              </c:ext>
            </c:extLst>
          </c:dPt>
          <c:cat>
            <c:strRef>
              <c:f>FamilyPlanning_Avail!$A$84:$A$97</c:f>
              <c:strCache>
                <c:ptCount val="14"/>
                <c:pt idx="0">
                  <c:v> Male   sterilization</c:v>
                </c:pt>
                <c:pt idx="1">
                  <c:v>Female  sterilization </c:v>
                </c:pt>
                <c:pt idx="2">
                  <c:v>Cycle beads</c:v>
                </c:pt>
                <c:pt idx="3">
                  <c:v> Female condoms </c:v>
                </c:pt>
                <c:pt idx="4">
                  <c:v>Progestin-only contraceptive pills</c:v>
                </c:pt>
                <c:pt idx="5">
                  <c:v>Emergency contraceptive pill</c:v>
                </c:pt>
                <c:pt idx="6">
                  <c:v> IUCD</c:v>
                </c:pt>
                <c:pt idx="7">
                  <c:v> Implants</c:v>
                </c:pt>
                <c:pt idx="8">
                  <c:v>Progestin-only Injectable contraceptives</c:v>
                </c:pt>
                <c:pt idx="9">
                  <c:v> Combined  estrogen progesterone injectable contraceptives</c:v>
                </c:pt>
                <c:pt idx="10">
                  <c:v>Combined estrogen progesterone oral   contraceptive pills</c:v>
                </c:pt>
                <c:pt idx="11">
                  <c:v> Male condoms</c:v>
                </c:pt>
                <c:pt idx="13">
                  <c:v>Family planning services offered</c:v>
                </c:pt>
              </c:strCache>
            </c:strRef>
          </c:cat>
          <c:val>
            <c:numRef>
              <c:f>FamilyPlanning_Avail!$B$84:$B$97</c:f>
              <c:numCache>
                <c:formatCode>General</c:formatCode>
                <c:ptCount val="14"/>
                <c:pt idx="0">
                  <c:v>12</c:v>
                </c:pt>
                <c:pt idx="1">
                  <c:v>18</c:v>
                </c:pt>
                <c:pt idx="2">
                  <c:v>22</c:v>
                </c:pt>
                <c:pt idx="3">
                  <c:v>33</c:v>
                </c:pt>
                <c:pt idx="4">
                  <c:v>43</c:v>
                </c:pt>
                <c:pt idx="5">
                  <c:v>47</c:v>
                </c:pt>
                <c:pt idx="6">
                  <c:v>49</c:v>
                </c:pt>
                <c:pt idx="7">
                  <c:v>53</c:v>
                </c:pt>
                <c:pt idx="8">
                  <c:v>60</c:v>
                </c:pt>
                <c:pt idx="9">
                  <c:v>65</c:v>
                </c:pt>
                <c:pt idx="10">
                  <c:v>73</c:v>
                </c:pt>
                <c:pt idx="11">
                  <c:v>86</c:v>
                </c:pt>
                <c:pt idx="13">
                  <c:v>83</c:v>
                </c:pt>
              </c:numCache>
            </c:numRef>
          </c:val>
          <c:extLst>
            <c:ext xmlns:c16="http://schemas.microsoft.com/office/drawing/2014/chart" uri="{C3380CC4-5D6E-409C-BE32-E72D297353CC}">
              <c16:uniqueId val="{00000000-616A-4FE7-A3A7-908D846143CD}"/>
            </c:ext>
          </c:extLst>
        </c:ser>
        <c:dLbls>
          <c:showLegendKey val="0"/>
          <c:showVal val="0"/>
          <c:showCatName val="0"/>
          <c:showSerName val="0"/>
          <c:showPercent val="0"/>
          <c:showBubbleSize val="0"/>
        </c:dLbls>
        <c:gapWidth val="58"/>
        <c:axId val="521446168"/>
        <c:axId val="521446560"/>
      </c:barChart>
      <c:catAx>
        <c:axId val="521446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Components of family planning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521446560"/>
        <c:crosses val="autoZero"/>
        <c:auto val="1"/>
        <c:lblAlgn val="ctr"/>
        <c:lblOffset val="100"/>
        <c:noMultiLvlLbl val="0"/>
      </c:catAx>
      <c:valAx>
        <c:axId val="521446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4461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FamilyPlanning_Avail!$C$101</c:f>
              <c:strCache>
                <c:ptCount val="1"/>
                <c:pt idx="0">
                  <c:v>Family planning services offered</c:v>
                </c:pt>
              </c:strCache>
            </c:strRef>
          </c:tx>
          <c:spPr>
            <a:solidFill>
              <a:schemeClr val="accent1"/>
            </a:solidFill>
            <a:ln>
              <a:noFill/>
            </a:ln>
            <a:effectLst/>
          </c:spPr>
          <c:invertIfNegative val="0"/>
          <c:dPt>
            <c:idx val="19"/>
            <c:invertIfNegative val="0"/>
            <c:bubble3D val="0"/>
            <c:spPr>
              <a:pattFill prst="wdDnDiag">
                <a:fgClr>
                  <a:schemeClr val="accent1"/>
                </a:fgClr>
                <a:bgClr>
                  <a:schemeClr val="bg1"/>
                </a:bgClr>
              </a:pattFill>
              <a:ln>
                <a:solidFill>
                  <a:schemeClr val="tx1"/>
                </a:solidFill>
              </a:ln>
              <a:effectLst/>
            </c:spPr>
            <c:extLst>
              <c:ext xmlns:c16="http://schemas.microsoft.com/office/drawing/2014/chart" uri="{C3380CC4-5D6E-409C-BE32-E72D297353CC}">
                <c16:uniqueId val="{00000001-FD69-44EF-B42A-F0BB8BD49CF7}"/>
              </c:ext>
            </c:extLst>
          </c:dPt>
          <c:cat>
            <c:multiLvlStrRef>
              <c:f>FamilyPlanning_Avail!$A$102:$B$121</c:f>
              <c:multiLvlStrCache>
                <c:ptCount val="20"/>
                <c:lvl>
                  <c:pt idx="0">
                    <c:v>Regional hospital</c:v>
                  </c:pt>
                  <c:pt idx="1">
                    <c:v>General hospital</c:v>
                  </c:pt>
                  <c:pt idx="2">
                    <c:v>HC IV</c:v>
                  </c:pt>
                  <c:pt idx="3">
                    <c:v>HC III</c:v>
                  </c:pt>
                  <c:pt idx="4">
                    <c:v>HC II</c:v>
                  </c:pt>
                  <c:pt idx="5">
                    <c:v>Public/Govt</c:v>
                  </c:pt>
                  <c:pt idx="6">
                    <c:v>Private</c:v>
                  </c:pt>
                  <c:pt idx="7">
                    <c:v>Urban</c:v>
                  </c:pt>
                  <c:pt idx="8">
                    <c:v>Rural</c:v>
                  </c:pt>
                  <c:pt idx="9">
                    <c:v>North East</c:v>
                  </c:pt>
                  <c:pt idx="10">
                    <c:v>Kampala</c:v>
                  </c:pt>
                  <c:pt idx="11">
                    <c:v>West Nile</c:v>
                  </c:pt>
                  <c:pt idx="12">
                    <c:v>South West</c:v>
                  </c:pt>
                  <c:pt idx="13">
                    <c:v>Central1</c:v>
                  </c:pt>
                  <c:pt idx="14">
                    <c:v>Karamoja</c:v>
                  </c:pt>
                  <c:pt idx="15">
                    <c:v>Central2</c:v>
                  </c:pt>
                  <c:pt idx="16">
                    <c:v>Mid East</c:v>
                  </c:pt>
                  <c:pt idx="17">
                    <c:v>Mid-North</c:v>
                  </c:pt>
                  <c:pt idx="18">
                    <c:v>Mid-West</c:v>
                  </c:pt>
                  <c:pt idx="19">
                    <c:v>Uganda </c:v>
                  </c:pt>
                </c:lvl>
                <c:lvl>
                  <c:pt idx="0">
                    <c:v>Facility Level </c:v>
                  </c:pt>
                  <c:pt idx="5">
                    <c:v>Ownership</c:v>
                  </c:pt>
                  <c:pt idx="7">
                    <c:v>Location</c:v>
                  </c:pt>
                  <c:pt idx="9">
                    <c:v>Health  regional </c:v>
                  </c:pt>
                  <c:pt idx="19">
                    <c:v>National</c:v>
                  </c:pt>
                </c:lvl>
              </c:multiLvlStrCache>
            </c:multiLvlStrRef>
          </c:cat>
          <c:val>
            <c:numRef>
              <c:f>FamilyPlanning_Avail!$C$102:$C$121</c:f>
              <c:numCache>
                <c:formatCode>General</c:formatCode>
                <c:ptCount val="20"/>
                <c:pt idx="0">
                  <c:v>100</c:v>
                </c:pt>
                <c:pt idx="1">
                  <c:v>85</c:v>
                </c:pt>
                <c:pt idx="2">
                  <c:v>82</c:v>
                </c:pt>
                <c:pt idx="3">
                  <c:v>84</c:v>
                </c:pt>
                <c:pt idx="4">
                  <c:v>83</c:v>
                </c:pt>
                <c:pt idx="5">
                  <c:v>95</c:v>
                </c:pt>
                <c:pt idx="6">
                  <c:v>72</c:v>
                </c:pt>
                <c:pt idx="7">
                  <c:v>76</c:v>
                </c:pt>
                <c:pt idx="8">
                  <c:v>89</c:v>
                </c:pt>
                <c:pt idx="9">
                  <c:v>61</c:v>
                </c:pt>
                <c:pt idx="10">
                  <c:v>71</c:v>
                </c:pt>
                <c:pt idx="11">
                  <c:v>75</c:v>
                </c:pt>
                <c:pt idx="12">
                  <c:v>79</c:v>
                </c:pt>
                <c:pt idx="13">
                  <c:v>88</c:v>
                </c:pt>
                <c:pt idx="14">
                  <c:v>88</c:v>
                </c:pt>
                <c:pt idx="15">
                  <c:v>91</c:v>
                </c:pt>
                <c:pt idx="16">
                  <c:v>98</c:v>
                </c:pt>
                <c:pt idx="17">
                  <c:v>100</c:v>
                </c:pt>
                <c:pt idx="18">
                  <c:v>100</c:v>
                </c:pt>
                <c:pt idx="19">
                  <c:v>83</c:v>
                </c:pt>
              </c:numCache>
            </c:numRef>
          </c:val>
          <c:extLst>
            <c:ext xmlns:c16="http://schemas.microsoft.com/office/drawing/2014/chart" uri="{C3380CC4-5D6E-409C-BE32-E72D297353CC}">
              <c16:uniqueId val="{00000000-6505-48EC-B520-AA974E62CE05}"/>
            </c:ext>
          </c:extLst>
        </c:ser>
        <c:dLbls>
          <c:showLegendKey val="0"/>
          <c:showVal val="0"/>
          <c:showCatName val="0"/>
          <c:showSerName val="0"/>
          <c:showPercent val="0"/>
          <c:showBubbleSize val="0"/>
        </c:dLbls>
        <c:gapWidth val="67"/>
        <c:overlap val="-27"/>
        <c:axId val="521447344"/>
        <c:axId val="521447736"/>
      </c:barChart>
      <c:catAx>
        <c:axId val="52144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521447736"/>
        <c:crosses val="autoZero"/>
        <c:auto val="1"/>
        <c:lblAlgn val="ctr"/>
        <c:lblOffset val="100"/>
        <c:noMultiLvlLbl val="0"/>
      </c:catAx>
      <c:valAx>
        <c:axId val="52144773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b="1"/>
                  <a:t>Percent of facilities</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447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[Uganda_results_2019.xlsx]FamilyPlanning_Avail!$B$126</c:f>
              <c:strCache>
                <c:ptCount val="1"/>
                <c:pt idx="0">
                  <c:v>Percent of facilities</c:v>
                </c:pt>
              </c:strCache>
            </c:strRef>
          </c:tx>
          <c:spPr>
            <a:solidFill>
              <a:srgbClr val="ED7D31">
                <a:lumMod val="60000"/>
                <a:lumOff val="40000"/>
              </a:srgbClr>
            </a:solidFill>
            <a:ln>
              <a:solidFill>
                <a:srgbClr val="ED7D31">
                  <a:lumMod val="60000"/>
                  <a:lumOff val="40000"/>
                </a:srgbClr>
              </a:solidFill>
            </a:ln>
            <a:effectLst/>
          </c:spPr>
          <c:invertIfNegative val="0"/>
          <c:cat>
            <c:strRef>
              <c:f>[Uganda_results_2019.xlsx]FamilyPlanning_Avail!$A$127:$A$131</c:f>
              <c:strCache>
                <c:ptCount val="5"/>
                <c:pt idx="0">
                  <c:v>Combined oral contraceptive pills (e.g. Microgynon)</c:v>
                </c:pt>
                <c:pt idx="1">
                  <c:v>Male condoms</c:v>
                </c:pt>
                <c:pt idx="2">
                  <c:v>Emergency contraceptive pill</c:v>
                </c:pt>
                <c:pt idx="3">
                  <c:v>IUCD</c:v>
                </c:pt>
                <c:pt idx="4">
                  <c:v>Implants</c:v>
                </c:pt>
              </c:strCache>
            </c:strRef>
          </c:cat>
          <c:val>
            <c:numRef>
              <c:f>[Uganda_results_2019.xlsx]FamilyPlanning_Avail!$B$127:$B$131</c:f>
              <c:numCache>
                <c:formatCode>General</c:formatCode>
                <c:ptCount val="5"/>
                <c:pt idx="0">
                  <c:v>66</c:v>
                </c:pt>
                <c:pt idx="1">
                  <c:v>40</c:v>
                </c:pt>
                <c:pt idx="2">
                  <c:v>56</c:v>
                </c:pt>
                <c:pt idx="3">
                  <c:v>33</c:v>
                </c:pt>
                <c:pt idx="4">
                  <c:v>51</c:v>
                </c:pt>
              </c:numCache>
            </c:numRef>
          </c:val>
          <c:extLst>
            <c:ext xmlns:c16="http://schemas.microsoft.com/office/drawing/2014/chart" uri="{C3380CC4-5D6E-409C-BE32-E72D297353CC}">
              <c16:uniqueId val="{00000000-6A71-47C8-BFCE-CAC6CC172274}"/>
            </c:ext>
          </c:extLst>
        </c:ser>
        <c:dLbls>
          <c:showLegendKey val="0"/>
          <c:showVal val="0"/>
          <c:showCatName val="0"/>
          <c:showSerName val="0"/>
          <c:showPercent val="0"/>
          <c:showBubbleSize val="0"/>
        </c:dLbls>
        <c:gapWidth val="116"/>
        <c:overlap val="-27"/>
        <c:axId val="488816808"/>
        <c:axId val="488817200"/>
      </c:barChart>
      <c:catAx>
        <c:axId val="488816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17200"/>
        <c:crosses val="autoZero"/>
        <c:auto val="1"/>
        <c:lblAlgn val="ctr"/>
        <c:lblOffset val="100"/>
        <c:noMultiLvlLbl val="0"/>
      </c:catAx>
      <c:valAx>
        <c:axId val="48881720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16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4">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'Family planning_Readiness'!$B$80</c:f>
              <c:strCache>
                <c:ptCount val="1"/>
                <c:pt idx="0">
                  <c:v>Staff and guidelines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'Family planning_Readiness'!$A$81:$A$95</c:f>
              <c:strCache>
                <c:ptCount val="15"/>
                <c:pt idx="0">
                  <c:v>Guidelines family planning </c:v>
                </c:pt>
                <c:pt idx="1">
                  <c:v>Family planning check-lists/job-aids</c:v>
                </c:pt>
                <c:pt idx="2">
                  <c:v>Staff received any training in family planning in past two years </c:v>
                </c:pt>
                <c:pt idx="3">
                  <c:v>Staff received any training in adolescent and reproduct health in last two years </c:v>
                </c:pt>
                <c:pt idx="4">
                  <c:v>Female condoms </c:v>
                </c:pt>
                <c:pt idx="5">
                  <c:v>Progestin-only contraceptive pills</c:v>
                </c:pt>
                <c:pt idx="6">
                  <c:v>Emergency contraceptive pills</c:v>
                </c:pt>
                <c:pt idx="7">
                  <c:v>Intrauterine contraceptive device (IUCD)</c:v>
                </c:pt>
                <c:pt idx="8">
                  <c:v>Implants</c:v>
                </c:pt>
                <c:pt idx="9">
                  <c:v>Combined  estrogen progesterone injectable conceptives</c:v>
                </c:pt>
                <c:pt idx="10">
                  <c:v>Projestin only injectable conceptives </c:v>
                </c:pt>
                <c:pt idx="11">
                  <c:v>Combined estrogen progesterone oral conceptive pills</c:v>
                </c:pt>
                <c:pt idx="12">
                  <c:v>Male condoms </c:v>
                </c:pt>
                <c:pt idx="13">
                  <c:v>Percent of facilities with all tracer items </c:v>
                </c:pt>
                <c:pt idx="14">
                  <c:v>Mean availability</c:v>
                </c:pt>
              </c:strCache>
            </c:strRef>
          </c:cat>
          <c:val>
            <c:numRef>
              <c:f>'Family planning_Readiness'!$B$81:$B$95</c:f>
              <c:numCache>
                <c:formatCode>General</c:formatCode>
                <c:ptCount val="15"/>
                <c:pt idx="0">
                  <c:v>55</c:v>
                </c:pt>
                <c:pt idx="1">
                  <c:v>64</c:v>
                </c:pt>
                <c:pt idx="2">
                  <c:v>41</c:v>
                </c:pt>
                <c:pt idx="3">
                  <c:v>45</c:v>
                </c:pt>
              </c:numCache>
            </c:numRef>
          </c:val>
          <c:extLst>
            <c:ext xmlns:c16="http://schemas.microsoft.com/office/drawing/2014/chart" uri="{C3380CC4-5D6E-409C-BE32-E72D297353CC}">
              <c16:uniqueId val="{00000000-569D-4A96-A859-4D8FF3EC179C}"/>
            </c:ext>
          </c:extLst>
        </c:ser>
        <c:ser>
          <c:idx val="1"/>
          <c:order val="1"/>
          <c:tx>
            <c:strRef>
              <c:f>'Family planning_Readiness'!$C$80</c:f>
              <c:strCache>
                <c:ptCount val="1"/>
                <c:pt idx="0">
                  <c:v>Medicines and commodities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'Family planning_Readiness'!$A$81:$A$95</c:f>
              <c:strCache>
                <c:ptCount val="15"/>
                <c:pt idx="0">
                  <c:v>Guidelines family planning </c:v>
                </c:pt>
                <c:pt idx="1">
                  <c:v>Family planning check-lists/job-aids</c:v>
                </c:pt>
                <c:pt idx="2">
                  <c:v>Staff received any training in family planning in past two years </c:v>
                </c:pt>
                <c:pt idx="3">
                  <c:v>Staff received any training in adolescent and reproduct health in last two years </c:v>
                </c:pt>
                <c:pt idx="4">
                  <c:v>Female condoms </c:v>
                </c:pt>
                <c:pt idx="5">
                  <c:v>Progestin-only contraceptive pills</c:v>
                </c:pt>
                <c:pt idx="6">
                  <c:v>Emergency contraceptive pills</c:v>
                </c:pt>
                <c:pt idx="7">
                  <c:v>Intrauterine contraceptive device (IUCD)</c:v>
                </c:pt>
                <c:pt idx="8">
                  <c:v>Implants</c:v>
                </c:pt>
                <c:pt idx="9">
                  <c:v>Combined  estrogen progesterone injectable conceptives</c:v>
                </c:pt>
                <c:pt idx="10">
                  <c:v>Projestin only injectable conceptives </c:v>
                </c:pt>
                <c:pt idx="11">
                  <c:v>Combined estrogen progesterone oral conceptive pills</c:v>
                </c:pt>
                <c:pt idx="12">
                  <c:v>Male condoms </c:v>
                </c:pt>
                <c:pt idx="13">
                  <c:v>Percent of facilities with all tracer items </c:v>
                </c:pt>
                <c:pt idx="14">
                  <c:v>Mean availability</c:v>
                </c:pt>
              </c:strCache>
            </c:strRef>
          </c:cat>
          <c:val>
            <c:numRef>
              <c:f>'Family planning_Readiness'!$C$81:$C$95</c:f>
              <c:numCache>
                <c:formatCode>General</c:formatCode>
                <c:ptCount val="15"/>
                <c:pt idx="4">
                  <c:v>30</c:v>
                </c:pt>
                <c:pt idx="5">
                  <c:v>35</c:v>
                </c:pt>
                <c:pt idx="6">
                  <c:v>43</c:v>
                </c:pt>
                <c:pt idx="7">
                  <c:v>45</c:v>
                </c:pt>
                <c:pt idx="8">
                  <c:v>48</c:v>
                </c:pt>
                <c:pt idx="9">
                  <c:v>60</c:v>
                </c:pt>
                <c:pt idx="10">
                  <c:v>61</c:v>
                </c:pt>
                <c:pt idx="11">
                  <c:v>72</c:v>
                </c:pt>
                <c:pt idx="12">
                  <c:v>82</c:v>
                </c:pt>
              </c:numCache>
            </c:numRef>
          </c:val>
          <c:extLst>
            <c:ext xmlns:c16="http://schemas.microsoft.com/office/drawing/2014/chart" uri="{C3380CC4-5D6E-409C-BE32-E72D297353CC}">
              <c16:uniqueId val="{00000001-569D-4A96-A859-4D8FF3EC179C}"/>
            </c:ext>
          </c:extLst>
        </c:ser>
        <c:ser>
          <c:idx val="2"/>
          <c:order val="2"/>
          <c:tx>
            <c:strRef>
              <c:f>'Family planning_Readiness'!$D$80</c:f>
              <c:strCache>
                <c:ptCount val="1"/>
                <c:pt idx="0">
                  <c:v>Readiness score</c:v>
                </c:pt>
              </c:strCache>
            </c:strRef>
          </c:tx>
          <c:spPr>
            <a:pattFill prst="wdDnDiag">
              <a:fgClr>
                <a:schemeClr val="accent1"/>
              </a:fgClr>
              <a:bgClr>
                <a:schemeClr val="bg1"/>
              </a:bgClr>
            </a:patt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'Family planning_Readiness'!$A$81:$A$95</c:f>
              <c:strCache>
                <c:ptCount val="15"/>
                <c:pt idx="0">
                  <c:v>Guidelines family planning </c:v>
                </c:pt>
                <c:pt idx="1">
                  <c:v>Family planning check-lists/job-aids</c:v>
                </c:pt>
                <c:pt idx="2">
                  <c:v>Staff received any training in family planning in past two years </c:v>
                </c:pt>
                <c:pt idx="3">
                  <c:v>Staff received any training in adolescent and reproduct health in last two years </c:v>
                </c:pt>
                <c:pt idx="4">
                  <c:v>Female condoms </c:v>
                </c:pt>
                <c:pt idx="5">
                  <c:v>Progestin-only contraceptive pills</c:v>
                </c:pt>
                <c:pt idx="6">
                  <c:v>Emergency contraceptive pills</c:v>
                </c:pt>
                <c:pt idx="7">
                  <c:v>Intrauterine contraceptive device (IUCD)</c:v>
                </c:pt>
                <c:pt idx="8">
                  <c:v>Implants</c:v>
                </c:pt>
                <c:pt idx="9">
                  <c:v>Combined  estrogen progesterone injectable conceptives</c:v>
                </c:pt>
                <c:pt idx="10">
                  <c:v>Projestin only injectable conceptives </c:v>
                </c:pt>
                <c:pt idx="11">
                  <c:v>Combined estrogen progesterone oral conceptive pills</c:v>
                </c:pt>
                <c:pt idx="12">
                  <c:v>Male condoms </c:v>
                </c:pt>
                <c:pt idx="13">
                  <c:v>Percent of facilities with all tracer items </c:v>
                </c:pt>
                <c:pt idx="14">
                  <c:v>Mean availability</c:v>
                </c:pt>
              </c:strCache>
            </c:strRef>
          </c:cat>
          <c:val>
            <c:numRef>
              <c:f>'Family planning_Readiness'!$D$81:$D$95</c:f>
              <c:numCache>
                <c:formatCode>General</c:formatCode>
                <c:ptCount val="15"/>
                <c:pt idx="13">
                  <c:v>4</c:v>
                </c:pt>
                <c:pt idx="14">
                  <c:v>47</c:v>
                </c:pt>
              </c:numCache>
            </c:numRef>
          </c:val>
          <c:extLst>
            <c:ext xmlns:c16="http://schemas.microsoft.com/office/drawing/2014/chart" uri="{C3380CC4-5D6E-409C-BE32-E72D297353CC}">
              <c16:uniqueId val="{00000002-569D-4A96-A859-4D8FF3EC179C}"/>
            </c:ext>
          </c:extLst>
        </c:ser>
        <c:dLbls>
          <c:showLegendKey val="0"/>
          <c:showVal val="0"/>
          <c:showCatName val="0"/>
          <c:showSerName val="0"/>
          <c:showPercent val="0"/>
          <c:showBubbleSize val="0"/>
        </c:dLbls>
        <c:gapWidth val="5"/>
        <c:overlap val="86"/>
        <c:axId val="378364456"/>
        <c:axId val="378364848"/>
      </c:barChart>
      <c:catAx>
        <c:axId val="3783644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364848"/>
        <c:crosses val="autoZero"/>
        <c:auto val="1"/>
        <c:lblAlgn val="ctr"/>
        <c:lblOffset val="100"/>
        <c:noMultiLvlLbl val="0"/>
      </c:catAx>
      <c:valAx>
        <c:axId val="378364848"/>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Percent availability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364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2"/>
          <c:tx>
            <c:strRef>
              <c:f>'[Uganda_results_2019.xlsx]Family planning_Readiness'!$E$100</c:f>
              <c:strCache>
                <c:ptCount val="1"/>
                <c:pt idx="0">
                  <c:v>Mean availability</c:v>
                </c:pt>
              </c:strCache>
            </c:strRef>
          </c:tx>
          <c:spPr>
            <a:solidFill>
              <a:schemeClr val="accent2">
                <a:lumMod val="20000"/>
                <a:lumOff val="80000"/>
              </a:schemeClr>
            </a:solidFill>
            <a:ln w="19050">
              <a:solidFill>
                <a:schemeClr val="accent2">
                  <a:lumMod val="20000"/>
                  <a:lumOff val="80000"/>
                </a:schemeClr>
              </a:solidFill>
            </a:ln>
            <a:effectLst/>
          </c:spPr>
          <c:invertIfNegative val="0"/>
          <c:cat>
            <c:strRef>
              <c:f>'[Uganda_results_2019.xlsx]Family planning_Readiness'!$B$101:$B$125</c:f>
              <c:strCache>
                <c:ptCount val="25"/>
                <c:pt idx="0">
                  <c:v>Regional hospital        </c:v>
                </c:pt>
                <c:pt idx="1">
                  <c:v>General hospital</c:v>
                </c:pt>
                <c:pt idx="2">
                  <c:v>HC IV</c:v>
                </c:pt>
                <c:pt idx="3">
                  <c:v>HC III</c:v>
                </c:pt>
                <c:pt idx="4">
                  <c:v>HC II</c:v>
                </c:pt>
                <c:pt idx="6">
                  <c:v>Public</c:v>
                </c:pt>
                <c:pt idx="7">
                  <c:v>Private</c:v>
                </c:pt>
                <c:pt idx="10">
                  <c:v>Urban</c:v>
                </c:pt>
                <c:pt idx="11">
                  <c:v>Rural</c:v>
                </c:pt>
                <c:pt idx="13">
                  <c:v>Central1</c:v>
                </c:pt>
                <c:pt idx="14">
                  <c:v>Central2</c:v>
                </c:pt>
                <c:pt idx="15">
                  <c:v>Kampala</c:v>
                </c:pt>
                <c:pt idx="16">
                  <c:v>Karamoja</c:v>
                </c:pt>
                <c:pt idx="17">
                  <c:v>Mid East</c:v>
                </c:pt>
                <c:pt idx="18">
                  <c:v>Mid-North</c:v>
                </c:pt>
                <c:pt idx="19">
                  <c:v>Mid-West</c:v>
                </c:pt>
                <c:pt idx="20">
                  <c:v>North East</c:v>
                </c:pt>
                <c:pt idx="21">
                  <c:v>South West</c:v>
                </c:pt>
                <c:pt idx="22">
                  <c:v>West Nile</c:v>
                </c:pt>
                <c:pt idx="24">
                  <c:v>Uganda</c:v>
                </c:pt>
              </c:strCache>
            </c:strRef>
          </c:cat>
          <c:val>
            <c:numRef>
              <c:f>'[Uganda_results_2019.xlsx]Family planning_Readiness'!$E$101:$E$125</c:f>
              <c:numCache>
                <c:formatCode>General</c:formatCode>
                <c:ptCount val="25"/>
                <c:pt idx="0">
                  <c:v>65</c:v>
                </c:pt>
                <c:pt idx="1">
                  <c:v>50</c:v>
                </c:pt>
                <c:pt idx="2">
                  <c:v>71</c:v>
                </c:pt>
                <c:pt idx="3">
                  <c:v>52</c:v>
                </c:pt>
                <c:pt idx="4">
                  <c:v>43</c:v>
                </c:pt>
                <c:pt idx="6">
                  <c:v>51</c:v>
                </c:pt>
                <c:pt idx="7">
                  <c:v>43</c:v>
                </c:pt>
                <c:pt idx="10">
                  <c:v>50</c:v>
                </c:pt>
                <c:pt idx="11">
                  <c:v>46</c:v>
                </c:pt>
                <c:pt idx="13" formatCode="0">
                  <c:v>63</c:v>
                </c:pt>
                <c:pt idx="14" formatCode="0">
                  <c:v>55.230769230769234</c:v>
                </c:pt>
                <c:pt idx="15" formatCode="0">
                  <c:v>51.92307692307692</c:v>
                </c:pt>
                <c:pt idx="16" formatCode="0">
                  <c:v>41.46153846153846</c:v>
                </c:pt>
                <c:pt idx="17" formatCode="0">
                  <c:v>48.07692307692308</c:v>
                </c:pt>
                <c:pt idx="18" formatCode="0">
                  <c:v>46.46153846153846</c:v>
                </c:pt>
                <c:pt idx="19" formatCode="0">
                  <c:v>67.92307692307692</c:v>
                </c:pt>
                <c:pt idx="20" formatCode="0">
                  <c:v>69.84615384615384</c:v>
                </c:pt>
                <c:pt idx="21" formatCode="0">
                  <c:v>45.53846153846154</c:v>
                </c:pt>
                <c:pt idx="22" formatCode="0">
                  <c:v>48.307692307692307</c:v>
                </c:pt>
                <c:pt idx="24" formatCode="0">
                  <c:v>47</c:v>
                </c:pt>
              </c:numCache>
            </c:numRef>
          </c:val>
          <c:extLst>
            <c:ext xmlns:c16="http://schemas.microsoft.com/office/drawing/2014/chart" uri="{C3380CC4-5D6E-409C-BE32-E72D297353CC}">
              <c16:uniqueId val="{00000000-B982-4FF2-9D43-F7402F4F0EE0}"/>
            </c:ext>
          </c:extLst>
        </c:ser>
        <c:dLbls>
          <c:showLegendKey val="0"/>
          <c:showVal val="0"/>
          <c:showCatName val="0"/>
          <c:showSerName val="0"/>
          <c:showPercent val="0"/>
          <c:showBubbleSize val="0"/>
        </c:dLbls>
        <c:gapWidth val="43"/>
        <c:axId val="378365632"/>
        <c:axId val="378366024"/>
      </c:barChart>
      <c:scatterChart>
        <c:scatterStyle val="lineMarker"/>
        <c:varyColors val="0"/>
        <c:ser>
          <c:idx val="0"/>
          <c:order val="0"/>
          <c:tx>
            <c:strRef>
              <c:f>'[Uganda_results_2019.xlsx]Family planning_Readiness'!$C$100</c:f>
              <c:strCache>
                <c:ptCount val="1"/>
                <c:pt idx="0">
                  <c:v>Staff and guides</c:v>
                </c:pt>
              </c:strCache>
            </c:strRef>
          </c:tx>
          <c:spPr>
            <a:ln w="19050" cap="rnd">
              <a:noFill/>
              <a:round/>
            </a:ln>
            <a:effectLst/>
          </c:spPr>
          <c:marker>
            <c:symbol val="circle"/>
            <c:size val="5"/>
            <c:spPr>
              <a:solidFill>
                <a:schemeClr val="accent1"/>
              </a:solidFill>
              <a:ln w="9525">
                <a:solidFill>
                  <a:schemeClr val="accent1"/>
                </a:solidFill>
              </a:ln>
              <a:effectLst/>
            </c:spPr>
          </c:marker>
          <c:xVal>
            <c:strRef>
              <c:f>'[Uganda_results_2019.xlsx]Family planning_Readiness'!$B$101:$B$125</c:f>
              <c:strCache>
                <c:ptCount val="25"/>
                <c:pt idx="0">
                  <c:v>Regional hospital        </c:v>
                </c:pt>
                <c:pt idx="1">
                  <c:v>General hospital</c:v>
                </c:pt>
                <c:pt idx="2">
                  <c:v>HC IV</c:v>
                </c:pt>
                <c:pt idx="3">
                  <c:v>HC III</c:v>
                </c:pt>
                <c:pt idx="4">
                  <c:v>HC II</c:v>
                </c:pt>
                <c:pt idx="6">
                  <c:v>Public</c:v>
                </c:pt>
                <c:pt idx="7">
                  <c:v>Private</c:v>
                </c:pt>
                <c:pt idx="10">
                  <c:v>Urban</c:v>
                </c:pt>
                <c:pt idx="11">
                  <c:v>Rural</c:v>
                </c:pt>
                <c:pt idx="13">
                  <c:v>Central1</c:v>
                </c:pt>
                <c:pt idx="14">
                  <c:v>Central2</c:v>
                </c:pt>
                <c:pt idx="15">
                  <c:v>Kampala</c:v>
                </c:pt>
                <c:pt idx="16">
                  <c:v>Karamoja</c:v>
                </c:pt>
                <c:pt idx="17">
                  <c:v>Mid East</c:v>
                </c:pt>
                <c:pt idx="18">
                  <c:v>Mid-North</c:v>
                </c:pt>
                <c:pt idx="19">
                  <c:v>Mid-West</c:v>
                </c:pt>
                <c:pt idx="20">
                  <c:v>North East</c:v>
                </c:pt>
                <c:pt idx="21">
                  <c:v>South West</c:v>
                </c:pt>
                <c:pt idx="22">
                  <c:v>West Nile</c:v>
                </c:pt>
                <c:pt idx="24">
                  <c:v>Uganda</c:v>
                </c:pt>
              </c:strCache>
            </c:strRef>
          </c:xVal>
          <c:yVal>
            <c:numRef>
              <c:f>'[Uganda_results_2019.xlsx]Family planning_Readiness'!$C$101:$C$125</c:f>
              <c:numCache>
                <c:formatCode>0</c:formatCode>
                <c:ptCount val="25"/>
                <c:pt idx="0">
                  <c:v>62.5</c:v>
                </c:pt>
                <c:pt idx="1">
                  <c:v>58.75</c:v>
                </c:pt>
                <c:pt idx="2">
                  <c:v>75</c:v>
                </c:pt>
                <c:pt idx="3">
                  <c:v>62</c:v>
                </c:pt>
                <c:pt idx="4">
                  <c:v>44.75</c:v>
                </c:pt>
                <c:pt idx="6">
                  <c:v>60.75</c:v>
                </c:pt>
                <c:pt idx="7">
                  <c:v>39.5</c:v>
                </c:pt>
                <c:pt idx="10">
                  <c:v>46.75</c:v>
                </c:pt>
                <c:pt idx="11">
                  <c:v>54.25</c:v>
                </c:pt>
                <c:pt idx="13">
                  <c:v>61</c:v>
                </c:pt>
                <c:pt idx="14">
                  <c:v>52.75</c:v>
                </c:pt>
                <c:pt idx="15">
                  <c:v>38.25</c:v>
                </c:pt>
                <c:pt idx="16">
                  <c:v>66.75</c:v>
                </c:pt>
                <c:pt idx="17">
                  <c:v>44.25</c:v>
                </c:pt>
                <c:pt idx="18">
                  <c:v>54.25</c:v>
                </c:pt>
                <c:pt idx="19">
                  <c:v>71.5</c:v>
                </c:pt>
                <c:pt idx="20">
                  <c:v>67.25</c:v>
                </c:pt>
                <c:pt idx="21">
                  <c:v>47.25</c:v>
                </c:pt>
                <c:pt idx="22">
                  <c:v>54.5</c:v>
                </c:pt>
                <c:pt idx="24">
                  <c:v>51.25</c:v>
                </c:pt>
              </c:numCache>
            </c:numRef>
          </c:yVal>
          <c:smooth val="0"/>
          <c:extLst>
            <c:ext xmlns:c16="http://schemas.microsoft.com/office/drawing/2014/chart" uri="{C3380CC4-5D6E-409C-BE32-E72D297353CC}">
              <c16:uniqueId val="{00000001-B982-4FF2-9D43-F7402F4F0EE0}"/>
            </c:ext>
          </c:extLst>
        </c:ser>
        <c:ser>
          <c:idx val="1"/>
          <c:order val="1"/>
          <c:tx>
            <c:strRef>
              <c:f>'[Uganda_results_2019.xlsx]Family planning_Readiness'!$D$100</c:f>
              <c:strCache>
                <c:ptCount val="1"/>
                <c:pt idx="0">
                  <c:v>Medicines and comodities</c:v>
                </c:pt>
              </c:strCache>
            </c:strRef>
          </c:tx>
          <c:spPr>
            <a:ln w="19050" cap="rnd">
              <a:noFill/>
              <a:round/>
            </a:ln>
            <a:effectLst/>
          </c:spPr>
          <c:marker>
            <c:symbol val="circle"/>
            <c:size val="5"/>
            <c:spPr>
              <a:solidFill>
                <a:schemeClr val="accent2"/>
              </a:solidFill>
              <a:ln w="9525">
                <a:solidFill>
                  <a:schemeClr val="accent2"/>
                </a:solidFill>
              </a:ln>
              <a:effectLst/>
            </c:spPr>
          </c:marker>
          <c:xVal>
            <c:strRef>
              <c:f>'[Uganda_results_2019.xlsx]Family planning_Readiness'!$B$101:$B$125</c:f>
              <c:strCache>
                <c:ptCount val="25"/>
                <c:pt idx="0">
                  <c:v>Regional hospital        </c:v>
                </c:pt>
                <c:pt idx="1">
                  <c:v>General hospital</c:v>
                </c:pt>
                <c:pt idx="2">
                  <c:v>HC IV</c:v>
                </c:pt>
                <c:pt idx="3">
                  <c:v>HC III</c:v>
                </c:pt>
                <c:pt idx="4">
                  <c:v>HC II</c:v>
                </c:pt>
                <c:pt idx="6">
                  <c:v>Public</c:v>
                </c:pt>
                <c:pt idx="7">
                  <c:v>Private</c:v>
                </c:pt>
                <c:pt idx="10">
                  <c:v>Urban</c:v>
                </c:pt>
                <c:pt idx="11">
                  <c:v>Rural</c:v>
                </c:pt>
                <c:pt idx="13">
                  <c:v>Central1</c:v>
                </c:pt>
                <c:pt idx="14">
                  <c:v>Central2</c:v>
                </c:pt>
                <c:pt idx="15">
                  <c:v>Kampala</c:v>
                </c:pt>
                <c:pt idx="16">
                  <c:v>Karamoja</c:v>
                </c:pt>
                <c:pt idx="17">
                  <c:v>Mid East</c:v>
                </c:pt>
                <c:pt idx="18">
                  <c:v>Mid-North</c:v>
                </c:pt>
                <c:pt idx="19">
                  <c:v>Mid-West</c:v>
                </c:pt>
                <c:pt idx="20">
                  <c:v>North East</c:v>
                </c:pt>
                <c:pt idx="21">
                  <c:v>South West</c:v>
                </c:pt>
                <c:pt idx="22">
                  <c:v>West Nile</c:v>
                </c:pt>
                <c:pt idx="24">
                  <c:v>Uganda</c:v>
                </c:pt>
              </c:strCache>
            </c:strRef>
          </c:xVal>
          <c:yVal>
            <c:numRef>
              <c:f>'[Uganda_results_2019.xlsx]Family planning_Readiness'!$D$101:$D$125</c:f>
              <c:numCache>
                <c:formatCode>0</c:formatCode>
                <c:ptCount val="25"/>
                <c:pt idx="0">
                  <c:v>66.666666666666671</c:v>
                </c:pt>
                <c:pt idx="1">
                  <c:v>59.333333333333336</c:v>
                </c:pt>
                <c:pt idx="2">
                  <c:v>72.555555555555557</c:v>
                </c:pt>
                <c:pt idx="3">
                  <c:v>61.666666666666664</c:v>
                </c:pt>
                <c:pt idx="4">
                  <c:v>47.777777777777779</c:v>
                </c:pt>
                <c:pt idx="6">
                  <c:v>49.333333333333336</c:v>
                </c:pt>
                <c:pt idx="7">
                  <c:v>58.222222222222221</c:v>
                </c:pt>
                <c:pt idx="10">
                  <c:v>62.777777777777779</c:v>
                </c:pt>
                <c:pt idx="11">
                  <c:v>46.888888888888886</c:v>
                </c:pt>
                <c:pt idx="13">
                  <c:v>63.888888888888886</c:v>
                </c:pt>
                <c:pt idx="14">
                  <c:v>56.333333333333336</c:v>
                </c:pt>
                <c:pt idx="15">
                  <c:v>58</c:v>
                </c:pt>
                <c:pt idx="16">
                  <c:v>30.222222222222221</c:v>
                </c:pt>
                <c:pt idx="17">
                  <c:v>49.777777777777779</c:v>
                </c:pt>
                <c:pt idx="18">
                  <c:v>43</c:v>
                </c:pt>
                <c:pt idx="19">
                  <c:v>66.333333333333329</c:v>
                </c:pt>
                <c:pt idx="20">
                  <c:v>71</c:v>
                </c:pt>
                <c:pt idx="21">
                  <c:v>44.777777777777779</c:v>
                </c:pt>
                <c:pt idx="22">
                  <c:v>45.555555555555557</c:v>
                </c:pt>
                <c:pt idx="24">
                  <c:v>52.888888888888886</c:v>
                </c:pt>
              </c:numCache>
            </c:numRef>
          </c:yVal>
          <c:smooth val="0"/>
          <c:extLst>
            <c:ext xmlns:c16="http://schemas.microsoft.com/office/drawing/2014/chart" uri="{C3380CC4-5D6E-409C-BE32-E72D297353CC}">
              <c16:uniqueId val="{00000002-B982-4FF2-9D43-F7402F4F0EE0}"/>
            </c:ext>
          </c:extLst>
        </c:ser>
        <c:dLbls>
          <c:showLegendKey val="0"/>
          <c:showVal val="0"/>
          <c:showCatName val="0"/>
          <c:showSerName val="0"/>
          <c:showPercent val="0"/>
          <c:showBubbleSize val="0"/>
        </c:dLbls>
        <c:axId val="378365632"/>
        <c:axId val="378366024"/>
      </c:scatterChart>
      <c:catAx>
        <c:axId val="37836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378366024"/>
        <c:crosses val="autoZero"/>
        <c:auto val="1"/>
        <c:lblAlgn val="ctr"/>
        <c:lblOffset val="100"/>
        <c:noMultiLvlLbl val="0"/>
      </c:catAx>
      <c:valAx>
        <c:axId val="37836602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36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'Family planning_Readiness'!$B$165:$D$165</c:f>
              <c:strCache>
                <c:ptCount val="3"/>
                <c:pt idx="0">
                  <c:v>Female condoms </c:v>
                </c:pt>
                <c:pt idx="1">
                  <c:v>Implants </c:v>
                </c:pt>
                <c:pt idx="2">
                  <c:v>Emegency contraceptive pill</c:v>
                </c:pt>
              </c:strCache>
            </c:strRef>
          </c:cat>
          <c:val>
            <c:numRef>
              <c:f>'Family planning_Readiness'!$B$193:$D$193</c:f>
              <c:numCache>
                <c:formatCode>General</c:formatCode>
                <c:ptCount val="3"/>
                <c:pt idx="0">
                  <c:v>81</c:v>
                </c:pt>
                <c:pt idx="1">
                  <c:v>68</c:v>
                </c:pt>
                <c:pt idx="2">
                  <c:v>81</c:v>
                </c:pt>
              </c:numCache>
            </c:numRef>
          </c:val>
          <c:extLst>
            <c:ext xmlns:c16="http://schemas.microsoft.com/office/drawing/2014/chart" uri="{C3380CC4-5D6E-409C-BE32-E72D297353CC}">
              <c16:uniqueId val="{00000000-A892-48E9-81DD-74959AB290E8}"/>
            </c:ext>
          </c:extLst>
        </c:ser>
        <c:dLbls>
          <c:showLegendKey val="0"/>
          <c:showVal val="0"/>
          <c:showCatName val="0"/>
          <c:showSerName val="0"/>
          <c:showPercent val="0"/>
          <c:showBubbleSize val="0"/>
        </c:dLbls>
        <c:gapWidth val="219"/>
        <c:overlap val="-27"/>
        <c:axId val="378366808"/>
        <c:axId val="378367200"/>
      </c:barChart>
      <c:catAx>
        <c:axId val="3783668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378367200"/>
        <c:crosses val="autoZero"/>
        <c:auto val="1"/>
        <c:lblAlgn val="ctr"/>
        <c:lblOffset val="100"/>
        <c:noMultiLvlLbl val="0"/>
      </c:catAx>
      <c:valAx>
        <c:axId val="37836720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b="1"/>
                  <a:t>Percent of facilities</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378366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9900"/>
            </a:solidFill>
            <a:ln>
              <a:noFill/>
            </a:ln>
            <a:effectLst/>
          </c:spPr>
          <c:invertIfNegative val="0"/>
          <c:dPt>
            <c:idx val="5"/>
            <c:invertIfNegative val="0"/>
            <c:bubble3D val="0"/>
            <c:spPr>
              <a:pattFill prst="wdDnDiag">
                <a:fgClr>
                  <a:srgbClr val="FF9900"/>
                </a:fgClr>
                <a:bgClr>
                  <a:schemeClr val="bg1"/>
                </a:bgClr>
              </a:pattFill>
              <a:ln>
                <a:solidFill>
                  <a:schemeClr val="tx1"/>
                </a:solidFill>
              </a:ln>
              <a:effectLst/>
            </c:spPr>
            <c:extLst>
              <c:ext xmlns:c16="http://schemas.microsoft.com/office/drawing/2014/chart" uri="{C3380CC4-5D6E-409C-BE32-E72D297353CC}">
                <c16:uniqueId val="{00000001-5177-450E-89CC-4D924FCB2E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NCDs!$A$4:$A$9</c:f>
              <c:strCache>
                <c:ptCount val="6"/>
                <c:pt idx="0">
                  <c:v>Diagnosis cervical cancer</c:v>
                </c:pt>
                <c:pt idx="1">
                  <c:v>Diagnosis/manage Diabetes</c:v>
                </c:pt>
                <c:pt idx="2">
                  <c:v>Diagnose/ manage Chronic Respiratory Disease (CRD)</c:v>
                </c:pt>
                <c:pt idx="3">
                  <c:v>Diagnose/ manage Cardiovasular Disease</c:v>
                </c:pt>
                <c:pt idx="5">
                  <c:v>NCD services offered</c:v>
                </c:pt>
              </c:strCache>
            </c:strRef>
          </c:cat>
          <c:val>
            <c:numRef>
              <c:f>NCDs!$B$4:$B$9</c:f>
              <c:numCache>
                <c:formatCode>General</c:formatCode>
                <c:ptCount val="6"/>
                <c:pt idx="0">
                  <c:v>31</c:v>
                </c:pt>
                <c:pt idx="1">
                  <c:v>62</c:v>
                </c:pt>
                <c:pt idx="2">
                  <c:v>71</c:v>
                </c:pt>
                <c:pt idx="3">
                  <c:v>85</c:v>
                </c:pt>
                <c:pt idx="5">
                  <c:v>54</c:v>
                </c:pt>
              </c:numCache>
            </c:numRef>
          </c:val>
          <c:extLst>
            <c:ext xmlns:c16="http://schemas.microsoft.com/office/drawing/2014/chart" uri="{C3380CC4-5D6E-409C-BE32-E72D297353CC}">
              <c16:uniqueId val="{00000002-5177-450E-89CC-4D924FCB2E5A}"/>
            </c:ext>
          </c:extLst>
        </c:ser>
        <c:dLbls>
          <c:showLegendKey val="0"/>
          <c:showVal val="0"/>
          <c:showCatName val="0"/>
          <c:showSerName val="0"/>
          <c:showPercent val="0"/>
          <c:showBubbleSize val="0"/>
        </c:dLbls>
        <c:gapWidth val="62"/>
        <c:axId val="518063528"/>
        <c:axId val="518063920"/>
      </c:barChart>
      <c:catAx>
        <c:axId val="518063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518063920"/>
        <c:crosses val="autoZero"/>
        <c:auto val="1"/>
        <c:lblAlgn val="ctr"/>
        <c:lblOffset val="100"/>
        <c:noMultiLvlLbl val="0"/>
      </c:catAx>
      <c:valAx>
        <c:axId val="5180639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r>
                  <a:rPr lang="en-US" sz="1100"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06352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F0"/>
            </a:solidFill>
            <a:ln>
              <a:noFill/>
            </a:ln>
            <a:effectLst/>
          </c:spPr>
          <c:invertIfNegative val="0"/>
          <c:dPt>
            <c:idx val="23"/>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1-599E-4E5F-9EB7-F79E7FCD8BBB}"/>
              </c:ext>
            </c:extLst>
          </c:dPt>
          <c:cat>
            <c:multiLvlStrRef>
              <c:f>NCDs!$A$60:$B$83</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Mid East</c:v>
                  </c:pt>
                  <c:pt idx="13">
                    <c:v>Central2</c:v>
                  </c:pt>
                  <c:pt idx="14">
                    <c:v>Karamoja</c:v>
                  </c:pt>
                  <c:pt idx="15">
                    <c:v>Mid-North</c:v>
                  </c:pt>
                  <c:pt idx="16">
                    <c:v>West Nile</c:v>
                  </c:pt>
                  <c:pt idx="17">
                    <c:v>North East</c:v>
                  </c:pt>
                  <c:pt idx="18">
                    <c:v>Central1</c:v>
                  </c:pt>
                  <c:pt idx="19">
                    <c:v>South West</c:v>
                  </c:pt>
                  <c:pt idx="20">
                    <c:v>Mid-West</c:v>
                  </c:pt>
                  <c:pt idx="21">
                    <c:v>Kampala</c:v>
                  </c:pt>
                  <c:pt idx="23">
                    <c:v>National</c:v>
                  </c:pt>
                </c:lvl>
                <c:lvl>
                  <c:pt idx="0">
                    <c:v>Facility Level</c:v>
                  </c:pt>
                  <c:pt idx="6">
                    <c:v>Ownership</c:v>
                  </c:pt>
                  <c:pt idx="9">
                    <c:v>Facility Location</c:v>
                  </c:pt>
                  <c:pt idx="12">
                    <c:v>Health Region</c:v>
                  </c:pt>
                  <c:pt idx="23">
                    <c:v>Uganda</c:v>
                  </c:pt>
                </c:lvl>
              </c:multiLvlStrCache>
            </c:multiLvlStrRef>
          </c:cat>
          <c:val>
            <c:numRef>
              <c:f>NCDs!$C$60:$C$83</c:f>
              <c:numCache>
                <c:formatCode>0</c:formatCode>
                <c:ptCount val="24"/>
                <c:pt idx="0">
                  <c:v>87.362639999999999</c:v>
                </c:pt>
                <c:pt idx="1">
                  <c:v>83.516480000000001</c:v>
                </c:pt>
                <c:pt idx="2">
                  <c:v>79.870130000000003</c:v>
                </c:pt>
                <c:pt idx="3">
                  <c:v>72.049689999999998</c:v>
                </c:pt>
                <c:pt idx="4">
                  <c:v>72.727270000000004</c:v>
                </c:pt>
                <c:pt idx="6">
                  <c:v>72.390940000000001</c:v>
                </c:pt>
                <c:pt idx="7">
                  <c:v>75.772360000000006</c:v>
                </c:pt>
                <c:pt idx="9">
                  <c:v>74.879419999999996</c:v>
                </c:pt>
                <c:pt idx="10">
                  <c:v>73.607910000000004</c:v>
                </c:pt>
                <c:pt idx="12">
                  <c:v>63.928571428571431</c:v>
                </c:pt>
                <c:pt idx="13">
                  <c:v>66</c:v>
                </c:pt>
                <c:pt idx="14">
                  <c:v>66.071428571428569</c:v>
                </c:pt>
                <c:pt idx="15">
                  <c:v>66.571428571428569</c:v>
                </c:pt>
                <c:pt idx="16">
                  <c:v>69.357142857142861</c:v>
                </c:pt>
                <c:pt idx="17">
                  <c:v>70.857142857142861</c:v>
                </c:pt>
                <c:pt idx="18">
                  <c:v>73</c:v>
                </c:pt>
                <c:pt idx="19">
                  <c:v>73.928571428571431</c:v>
                </c:pt>
                <c:pt idx="20">
                  <c:v>75.142857142857139</c:v>
                </c:pt>
                <c:pt idx="21">
                  <c:v>77</c:v>
                </c:pt>
                <c:pt idx="23" formatCode="General">
                  <c:v>62</c:v>
                </c:pt>
              </c:numCache>
            </c:numRef>
          </c:val>
          <c:extLst>
            <c:ext xmlns:c16="http://schemas.microsoft.com/office/drawing/2014/chart" uri="{C3380CC4-5D6E-409C-BE32-E72D297353CC}">
              <c16:uniqueId val="{00000002-599E-4E5F-9EB7-F79E7FCD8BBB}"/>
            </c:ext>
          </c:extLst>
        </c:ser>
        <c:dLbls>
          <c:showLegendKey val="0"/>
          <c:showVal val="0"/>
          <c:showCatName val="0"/>
          <c:showSerName val="0"/>
          <c:showPercent val="0"/>
          <c:showBubbleSize val="0"/>
        </c:dLbls>
        <c:gapWidth val="60"/>
        <c:overlap val="-27"/>
        <c:axId val="518065096"/>
        <c:axId val="518065488"/>
      </c:barChart>
      <c:catAx>
        <c:axId val="518065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065488"/>
        <c:crosses val="autoZero"/>
        <c:auto val="1"/>
        <c:lblAlgn val="ctr"/>
        <c:lblOffset val="100"/>
        <c:noMultiLvlLbl val="0"/>
      </c:catAx>
      <c:valAx>
        <c:axId val="518065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06509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CVD_Avail!$B$38:$B$39</c:f>
              <c:strCache>
                <c:ptCount val="2"/>
                <c:pt idx="0">
                  <c:v>Facility Level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CVD_Avail!$A$40:$A$63</c:f>
              <c:strCache>
                <c:ptCount val="24"/>
                <c:pt idx="0">
                  <c:v>Regional Hospital</c:v>
                </c:pt>
                <c:pt idx="1">
                  <c:v>General Hospital</c:v>
                </c:pt>
                <c:pt idx="2">
                  <c:v>HC IV</c:v>
                </c:pt>
                <c:pt idx="3">
                  <c:v>HC III</c:v>
                </c:pt>
                <c:pt idx="4">
                  <c:v>HC II</c:v>
                </c:pt>
                <c:pt idx="6">
                  <c:v>Public</c:v>
                </c:pt>
                <c:pt idx="7">
                  <c:v>Private</c:v>
                </c:pt>
                <c:pt idx="9">
                  <c:v>Urban</c:v>
                </c:pt>
                <c:pt idx="10">
                  <c:v>Rural</c:v>
                </c:pt>
                <c:pt idx="12">
                  <c:v>West Nile</c:v>
                </c:pt>
                <c:pt idx="13">
                  <c:v>Kampala</c:v>
                </c:pt>
                <c:pt idx="14">
                  <c:v>Mid East</c:v>
                </c:pt>
                <c:pt idx="15">
                  <c:v>South West</c:v>
                </c:pt>
                <c:pt idx="16">
                  <c:v>Central1</c:v>
                </c:pt>
                <c:pt idx="17">
                  <c:v>Central2</c:v>
                </c:pt>
                <c:pt idx="18">
                  <c:v>Karamoja</c:v>
                </c:pt>
                <c:pt idx="19">
                  <c:v>Mid-North</c:v>
                </c:pt>
                <c:pt idx="20">
                  <c:v>Mid-West</c:v>
                </c:pt>
                <c:pt idx="21">
                  <c:v>North East</c:v>
                </c:pt>
                <c:pt idx="23">
                  <c:v>Uganda</c:v>
                </c:pt>
              </c:strCache>
            </c:strRef>
          </c:cat>
          <c:val>
            <c:numRef>
              <c:f>CVD_Avail!$B$40:$B$63</c:f>
              <c:numCache>
                <c:formatCode>General</c:formatCode>
                <c:ptCount val="24"/>
                <c:pt idx="0">
                  <c:v>100</c:v>
                </c:pt>
                <c:pt idx="1">
                  <c:v>92</c:v>
                </c:pt>
                <c:pt idx="2">
                  <c:v>88</c:v>
                </c:pt>
                <c:pt idx="3">
                  <c:v>89</c:v>
                </c:pt>
                <c:pt idx="4">
                  <c:v>81</c:v>
                </c:pt>
              </c:numCache>
            </c:numRef>
          </c:val>
          <c:extLst>
            <c:ext xmlns:c16="http://schemas.microsoft.com/office/drawing/2014/chart" uri="{C3380CC4-5D6E-409C-BE32-E72D297353CC}">
              <c16:uniqueId val="{00000000-48B2-4AC4-9F94-6794776AF8A1}"/>
            </c:ext>
          </c:extLst>
        </c:ser>
        <c:ser>
          <c:idx val="1"/>
          <c:order val="1"/>
          <c:tx>
            <c:strRef>
              <c:f>CVD_Avail!$C$38:$C$39</c:f>
              <c:strCache>
                <c:ptCount val="2"/>
                <c:pt idx="0">
                  <c:v>Ownership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CVD_Avail!$A$40:$A$63</c:f>
              <c:strCache>
                <c:ptCount val="24"/>
                <c:pt idx="0">
                  <c:v>Regional Hospital</c:v>
                </c:pt>
                <c:pt idx="1">
                  <c:v>General Hospital</c:v>
                </c:pt>
                <c:pt idx="2">
                  <c:v>HC IV</c:v>
                </c:pt>
                <c:pt idx="3">
                  <c:v>HC III</c:v>
                </c:pt>
                <c:pt idx="4">
                  <c:v>HC II</c:v>
                </c:pt>
                <c:pt idx="6">
                  <c:v>Public</c:v>
                </c:pt>
                <c:pt idx="7">
                  <c:v>Private</c:v>
                </c:pt>
                <c:pt idx="9">
                  <c:v>Urban</c:v>
                </c:pt>
                <c:pt idx="10">
                  <c:v>Rural</c:v>
                </c:pt>
                <c:pt idx="12">
                  <c:v>West Nile</c:v>
                </c:pt>
                <c:pt idx="13">
                  <c:v>Kampala</c:v>
                </c:pt>
                <c:pt idx="14">
                  <c:v>Mid East</c:v>
                </c:pt>
                <c:pt idx="15">
                  <c:v>South West</c:v>
                </c:pt>
                <c:pt idx="16">
                  <c:v>Central1</c:v>
                </c:pt>
                <c:pt idx="17">
                  <c:v>Central2</c:v>
                </c:pt>
                <c:pt idx="18">
                  <c:v>Karamoja</c:v>
                </c:pt>
                <c:pt idx="19">
                  <c:v>Mid-North</c:v>
                </c:pt>
                <c:pt idx="20">
                  <c:v>Mid-West</c:v>
                </c:pt>
                <c:pt idx="21">
                  <c:v>North East</c:v>
                </c:pt>
                <c:pt idx="23">
                  <c:v>Uganda</c:v>
                </c:pt>
              </c:strCache>
            </c:strRef>
          </c:cat>
          <c:val>
            <c:numRef>
              <c:f>CVD_Avail!$C$40:$C$63</c:f>
              <c:numCache>
                <c:formatCode>General</c:formatCode>
                <c:ptCount val="24"/>
                <c:pt idx="6">
                  <c:v>91</c:v>
                </c:pt>
                <c:pt idx="7">
                  <c:v>81</c:v>
                </c:pt>
              </c:numCache>
            </c:numRef>
          </c:val>
          <c:extLst>
            <c:ext xmlns:c16="http://schemas.microsoft.com/office/drawing/2014/chart" uri="{C3380CC4-5D6E-409C-BE32-E72D297353CC}">
              <c16:uniqueId val="{00000001-48B2-4AC4-9F94-6794776AF8A1}"/>
            </c:ext>
          </c:extLst>
        </c:ser>
        <c:ser>
          <c:idx val="2"/>
          <c:order val="2"/>
          <c:tx>
            <c:strRef>
              <c:f>CVD_Avail!$D$38:$D$39</c:f>
              <c:strCache>
                <c:ptCount val="2"/>
                <c:pt idx="0">
                  <c:v>Location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CVD_Avail!$A$40:$A$63</c:f>
              <c:strCache>
                <c:ptCount val="24"/>
                <c:pt idx="0">
                  <c:v>Regional Hospital</c:v>
                </c:pt>
                <c:pt idx="1">
                  <c:v>General Hospital</c:v>
                </c:pt>
                <c:pt idx="2">
                  <c:v>HC IV</c:v>
                </c:pt>
                <c:pt idx="3">
                  <c:v>HC III</c:v>
                </c:pt>
                <c:pt idx="4">
                  <c:v>HC II</c:v>
                </c:pt>
                <c:pt idx="6">
                  <c:v>Public</c:v>
                </c:pt>
                <c:pt idx="7">
                  <c:v>Private</c:v>
                </c:pt>
                <c:pt idx="9">
                  <c:v>Urban</c:v>
                </c:pt>
                <c:pt idx="10">
                  <c:v>Rural</c:v>
                </c:pt>
                <c:pt idx="12">
                  <c:v>West Nile</c:v>
                </c:pt>
                <c:pt idx="13">
                  <c:v>Kampala</c:v>
                </c:pt>
                <c:pt idx="14">
                  <c:v>Mid East</c:v>
                </c:pt>
                <c:pt idx="15">
                  <c:v>South West</c:v>
                </c:pt>
                <c:pt idx="16">
                  <c:v>Central1</c:v>
                </c:pt>
                <c:pt idx="17">
                  <c:v>Central2</c:v>
                </c:pt>
                <c:pt idx="18">
                  <c:v>Karamoja</c:v>
                </c:pt>
                <c:pt idx="19">
                  <c:v>Mid-North</c:v>
                </c:pt>
                <c:pt idx="20">
                  <c:v>Mid-West</c:v>
                </c:pt>
                <c:pt idx="21">
                  <c:v>North East</c:v>
                </c:pt>
                <c:pt idx="23">
                  <c:v>Uganda</c:v>
                </c:pt>
              </c:strCache>
            </c:strRef>
          </c:cat>
          <c:val>
            <c:numRef>
              <c:f>CVD_Avail!$D$40:$D$63</c:f>
              <c:numCache>
                <c:formatCode>General</c:formatCode>
                <c:ptCount val="24"/>
                <c:pt idx="9">
                  <c:v>83</c:v>
                </c:pt>
                <c:pt idx="10">
                  <c:v>88</c:v>
                </c:pt>
              </c:numCache>
            </c:numRef>
          </c:val>
          <c:extLst>
            <c:ext xmlns:c16="http://schemas.microsoft.com/office/drawing/2014/chart" uri="{C3380CC4-5D6E-409C-BE32-E72D297353CC}">
              <c16:uniqueId val="{00000002-48B2-4AC4-9F94-6794776AF8A1}"/>
            </c:ext>
          </c:extLst>
        </c:ser>
        <c:ser>
          <c:idx val="3"/>
          <c:order val="3"/>
          <c:tx>
            <c:strRef>
              <c:f>CVD_Avail!$E$38:$E$39</c:f>
              <c:strCache>
                <c:ptCount val="2"/>
                <c:pt idx="0">
                  <c:v>Health Region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CVD_Avail!$A$40:$A$63</c:f>
              <c:strCache>
                <c:ptCount val="24"/>
                <c:pt idx="0">
                  <c:v>Regional Hospital</c:v>
                </c:pt>
                <c:pt idx="1">
                  <c:v>General Hospital</c:v>
                </c:pt>
                <c:pt idx="2">
                  <c:v>HC IV</c:v>
                </c:pt>
                <c:pt idx="3">
                  <c:v>HC III</c:v>
                </c:pt>
                <c:pt idx="4">
                  <c:v>HC II</c:v>
                </c:pt>
                <c:pt idx="6">
                  <c:v>Public</c:v>
                </c:pt>
                <c:pt idx="7">
                  <c:v>Private</c:v>
                </c:pt>
                <c:pt idx="9">
                  <c:v>Urban</c:v>
                </c:pt>
                <c:pt idx="10">
                  <c:v>Rural</c:v>
                </c:pt>
                <c:pt idx="12">
                  <c:v>West Nile</c:v>
                </c:pt>
                <c:pt idx="13">
                  <c:v>Kampala</c:v>
                </c:pt>
                <c:pt idx="14">
                  <c:v>Mid East</c:v>
                </c:pt>
                <c:pt idx="15">
                  <c:v>South West</c:v>
                </c:pt>
                <c:pt idx="16">
                  <c:v>Central1</c:v>
                </c:pt>
                <c:pt idx="17">
                  <c:v>Central2</c:v>
                </c:pt>
                <c:pt idx="18">
                  <c:v>Karamoja</c:v>
                </c:pt>
                <c:pt idx="19">
                  <c:v>Mid-North</c:v>
                </c:pt>
                <c:pt idx="20">
                  <c:v>Mid-West</c:v>
                </c:pt>
                <c:pt idx="21">
                  <c:v>North East</c:v>
                </c:pt>
                <c:pt idx="23">
                  <c:v>Uganda</c:v>
                </c:pt>
              </c:strCache>
            </c:strRef>
          </c:cat>
          <c:val>
            <c:numRef>
              <c:f>CVD_Avail!$E$40:$E$63</c:f>
              <c:numCache>
                <c:formatCode>General</c:formatCode>
                <c:ptCount val="24"/>
                <c:pt idx="12">
                  <c:v>52</c:v>
                </c:pt>
                <c:pt idx="13">
                  <c:v>80</c:v>
                </c:pt>
                <c:pt idx="14">
                  <c:v>84</c:v>
                </c:pt>
                <c:pt idx="15">
                  <c:v>86</c:v>
                </c:pt>
                <c:pt idx="16">
                  <c:v>87</c:v>
                </c:pt>
                <c:pt idx="17">
                  <c:v>100</c:v>
                </c:pt>
                <c:pt idx="18">
                  <c:v>100</c:v>
                </c:pt>
                <c:pt idx="19">
                  <c:v>100</c:v>
                </c:pt>
                <c:pt idx="20">
                  <c:v>100</c:v>
                </c:pt>
                <c:pt idx="21">
                  <c:v>100</c:v>
                </c:pt>
              </c:numCache>
            </c:numRef>
          </c:val>
          <c:extLst>
            <c:ext xmlns:c16="http://schemas.microsoft.com/office/drawing/2014/chart" uri="{C3380CC4-5D6E-409C-BE32-E72D297353CC}">
              <c16:uniqueId val="{00000003-48B2-4AC4-9F94-6794776AF8A1}"/>
            </c:ext>
          </c:extLst>
        </c:ser>
        <c:ser>
          <c:idx val="4"/>
          <c:order val="4"/>
          <c:tx>
            <c:strRef>
              <c:f>CVD_Avail!$F$38:$F$39</c:f>
              <c:strCache>
                <c:ptCount val="2"/>
                <c:pt idx="0">
                  <c:v>National</c:v>
                </c:pt>
              </c:strCache>
            </c:strRef>
          </c:tx>
          <c:spPr>
            <a:pattFill prst="lgCheck">
              <a:fgClr>
                <a:srgbClr val="C00000"/>
              </a:fgClr>
              <a:bgClr>
                <a:schemeClr val="bg1"/>
              </a:bgClr>
            </a:pattFill>
            <a:ln>
              <a:solidFill>
                <a:srgbClr val="C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CVD_Avail!$A$40:$A$63</c:f>
              <c:strCache>
                <c:ptCount val="24"/>
                <c:pt idx="0">
                  <c:v>Regional Hospital</c:v>
                </c:pt>
                <c:pt idx="1">
                  <c:v>General Hospital</c:v>
                </c:pt>
                <c:pt idx="2">
                  <c:v>HC IV</c:v>
                </c:pt>
                <c:pt idx="3">
                  <c:v>HC III</c:v>
                </c:pt>
                <c:pt idx="4">
                  <c:v>HC II</c:v>
                </c:pt>
                <c:pt idx="6">
                  <c:v>Public</c:v>
                </c:pt>
                <c:pt idx="7">
                  <c:v>Private</c:v>
                </c:pt>
                <c:pt idx="9">
                  <c:v>Urban</c:v>
                </c:pt>
                <c:pt idx="10">
                  <c:v>Rural</c:v>
                </c:pt>
                <c:pt idx="12">
                  <c:v>West Nile</c:v>
                </c:pt>
                <c:pt idx="13">
                  <c:v>Kampala</c:v>
                </c:pt>
                <c:pt idx="14">
                  <c:v>Mid East</c:v>
                </c:pt>
                <c:pt idx="15">
                  <c:v>South West</c:v>
                </c:pt>
                <c:pt idx="16">
                  <c:v>Central1</c:v>
                </c:pt>
                <c:pt idx="17">
                  <c:v>Central2</c:v>
                </c:pt>
                <c:pt idx="18">
                  <c:v>Karamoja</c:v>
                </c:pt>
                <c:pt idx="19">
                  <c:v>Mid-North</c:v>
                </c:pt>
                <c:pt idx="20">
                  <c:v>Mid-West</c:v>
                </c:pt>
                <c:pt idx="21">
                  <c:v>North East</c:v>
                </c:pt>
                <c:pt idx="23">
                  <c:v>Uganda</c:v>
                </c:pt>
              </c:strCache>
            </c:strRef>
          </c:cat>
          <c:val>
            <c:numRef>
              <c:f>CVD_Avail!$F$40:$F$63</c:f>
              <c:numCache>
                <c:formatCode>General</c:formatCode>
                <c:ptCount val="24"/>
                <c:pt idx="23">
                  <c:v>85</c:v>
                </c:pt>
              </c:numCache>
            </c:numRef>
          </c:val>
          <c:extLst>
            <c:ext xmlns:c16="http://schemas.microsoft.com/office/drawing/2014/chart" uri="{C3380CC4-5D6E-409C-BE32-E72D297353CC}">
              <c16:uniqueId val="{00000004-48B2-4AC4-9F94-6794776AF8A1}"/>
            </c:ext>
          </c:extLst>
        </c:ser>
        <c:dLbls>
          <c:dLblPos val="outEnd"/>
          <c:showLegendKey val="0"/>
          <c:showVal val="1"/>
          <c:showCatName val="0"/>
          <c:showSerName val="0"/>
          <c:showPercent val="0"/>
          <c:showBubbleSize val="0"/>
        </c:dLbls>
        <c:gapWidth val="10"/>
        <c:overlap val="95"/>
        <c:axId val="367244064"/>
        <c:axId val="367244456"/>
      </c:barChart>
      <c:catAx>
        <c:axId val="367244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67244456"/>
        <c:crosses val="autoZero"/>
        <c:auto val="1"/>
        <c:lblAlgn val="ctr"/>
        <c:lblOffset val="100"/>
        <c:noMultiLvlLbl val="0"/>
      </c:catAx>
      <c:valAx>
        <c:axId val="367244456"/>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44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'Cervical cancer_Avail'!$B$33:$B$34</c:f>
              <c:strCache>
                <c:ptCount val="2"/>
                <c:pt idx="0">
                  <c:v>Facility Level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cancer_Avail'!$A$35:$A$58</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Central2</c:v>
                </c:pt>
                <c:pt idx="13">
                  <c:v>Karamoja</c:v>
                </c:pt>
                <c:pt idx="14">
                  <c:v>Mid-West</c:v>
                </c:pt>
                <c:pt idx="15">
                  <c:v>West Nile</c:v>
                </c:pt>
                <c:pt idx="16">
                  <c:v>Mid-North</c:v>
                </c:pt>
                <c:pt idx="17">
                  <c:v>Mid East</c:v>
                </c:pt>
                <c:pt idx="18">
                  <c:v>Kampala</c:v>
                </c:pt>
                <c:pt idx="19">
                  <c:v>South West</c:v>
                </c:pt>
                <c:pt idx="20">
                  <c:v>North East</c:v>
                </c:pt>
                <c:pt idx="21">
                  <c:v>Central1</c:v>
                </c:pt>
                <c:pt idx="23">
                  <c:v>Uganda</c:v>
                </c:pt>
              </c:strCache>
            </c:strRef>
          </c:cat>
          <c:val>
            <c:numRef>
              <c:f>'Cervical cancer_Avail'!$B$35:$B$58</c:f>
              <c:numCache>
                <c:formatCode>General</c:formatCode>
                <c:ptCount val="24"/>
                <c:pt idx="0">
                  <c:v>21</c:v>
                </c:pt>
                <c:pt idx="1">
                  <c:v>52</c:v>
                </c:pt>
                <c:pt idx="2">
                  <c:v>36</c:v>
                </c:pt>
                <c:pt idx="3">
                  <c:v>24</c:v>
                </c:pt>
                <c:pt idx="4">
                  <c:v>33</c:v>
                </c:pt>
              </c:numCache>
            </c:numRef>
          </c:val>
          <c:extLst>
            <c:ext xmlns:c16="http://schemas.microsoft.com/office/drawing/2014/chart" uri="{C3380CC4-5D6E-409C-BE32-E72D297353CC}">
              <c16:uniqueId val="{00000000-1F76-42F2-A2ED-74368C2F0E21}"/>
            </c:ext>
          </c:extLst>
        </c:ser>
        <c:ser>
          <c:idx val="1"/>
          <c:order val="1"/>
          <c:tx>
            <c:strRef>
              <c:f>'Cervical cancer_Avail'!$C$33:$C$34</c:f>
              <c:strCache>
                <c:ptCount val="2"/>
                <c:pt idx="0">
                  <c:v>Ownership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cancer_Avail'!$A$35:$A$58</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Central2</c:v>
                </c:pt>
                <c:pt idx="13">
                  <c:v>Karamoja</c:v>
                </c:pt>
                <c:pt idx="14">
                  <c:v>Mid-West</c:v>
                </c:pt>
                <c:pt idx="15">
                  <c:v>West Nile</c:v>
                </c:pt>
                <c:pt idx="16">
                  <c:v>Mid-North</c:v>
                </c:pt>
                <c:pt idx="17">
                  <c:v>Mid East</c:v>
                </c:pt>
                <c:pt idx="18">
                  <c:v>Kampala</c:v>
                </c:pt>
                <c:pt idx="19">
                  <c:v>South West</c:v>
                </c:pt>
                <c:pt idx="20">
                  <c:v>North East</c:v>
                </c:pt>
                <c:pt idx="21">
                  <c:v>Central1</c:v>
                </c:pt>
                <c:pt idx="23">
                  <c:v>Uganda</c:v>
                </c:pt>
              </c:strCache>
            </c:strRef>
          </c:cat>
          <c:val>
            <c:numRef>
              <c:f>'Cervical cancer_Avail'!$C$35:$C$58</c:f>
              <c:numCache>
                <c:formatCode>General</c:formatCode>
                <c:ptCount val="24"/>
                <c:pt idx="6">
                  <c:v>26</c:v>
                </c:pt>
                <c:pt idx="7">
                  <c:v>35</c:v>
                </c:pt>
              </c:numCache>
            </c:numRef>
          </c:val>
          <c:extLst>
            <c:ext xmlns:c16="http://schemas.microsoft.com/office/drawing/2014/chart" uri="{C3380CC4-5D6E-409C-BE32-E72D297353CC}">
              <c16:uniqueId val="{00000001-1F76-42F2-A2ED-74368C2F0E21}"/>
            </c:ext>
          </c:extLst>
        </c:ser>
        <c:ser>
          <c:idx val="2"/>
          <c:order val="2"/>
          <c:tx>
            <c:strRef>
              <c:f>'Cervical cancer_Avail'!$D$33:$D$34</c:f>
              <c:strCache>
                <c:ptCount val="2"/>
                <c:pt idx="0">
                  <c:v>Location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cancer_Avail'!$A$35:$A$58</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Central2</c:v>
                </c:pt>
                <c:pt idx="13">
                  <c:v>Karamoja</c:v>
                </c:pt>
                <c:pt idx="14">
                  <c:v>Mid-West</c:v>
                </c:pt>
                <c:pt idx="15">
                  <c:v>West Nile</c:v>
                </c:pt>
                <c:pt idx="16">
                  <c:v>Mid-North</c:v>
                </c:pt>
                <c:pt idx="17">
                  <c:v>Mid East</c:v>
                </c:pt>
                <c:pt idx="18">
                  <c:v>Kampala</c:v>
                </c:pt>
                <c:pt idx="19">
                  <c:v>South West</c:v>
                </c:pt>
                <c:pt idx="20">
                  <c:v>North East</c:v>
                </c:pt>
                <c:pt idx="21">
                  <c:v>Central1</c:v>
                </c:pt>
                <c:pt idx="23">
                  <c:v>Uganda</c:v>
                </c:pt>
              </c:strCache>
            </c:strRef>
          </c:cat>
          <c:val>
            <c:numRef>
              <c:f>'Cervical cancer_Avail'!$D$35:$D$58</c:f>
              <c:numCache>
                <c:formatCode>General</c:formatCode>
                <c:ptCount val="24"/>
                <c:pt idx="9">
                  <c:v>37</c:v>
                </c:pt>
                <c:pt idx="10">
                  <c:v>25</c:v>
                </c:pt>
              </c:numCache>
            </c:numRef>
          </c:val>
          <c:extLst>
            <c:ext xmlns:c16="http://schemas.microsoft.com/office/drawing/2014/chart" uri="{C3380CC4-5D6E-409C-BE32-E72D297353CC}">
              <c16:uniqueId val="{00000002-1F76-42F2-A2ED-74368C2F0E21}"/>
            </c:ext>
          </c:extLst>
        </c:ser>
        <c:ser>
          <c:idx val="3"/>
          <c:order val="3"/>
          <c:tx>
            <c:strRef>
              <c:f>'Cervical cancer_Avail'!$E$33:$E$34</c:f>
              <c:strCache>
                <c:ptCount val="2"/>
                <c:pt idx="0">
                  <c:v>Health Region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cancer_Avail'!$A$35:$A$58</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Central2</c:v>
                </c:pt>
                <c:pt idx="13">
                  <c:v>Karamoja</c:v>
                </c:pt>
                <c:pt idx="14">
                  <c:v>Mid-West</c:v>
                </c:pt>
                <c:pt idx="15">
                  <c:v>West Nile</c:v>
                </c:pt>
                <c:pt idx="16">
                  <c:v>Mid-North</c:v>
                </c:pt>
                <c:pt idx="17">
                  <c:v>Mid East</c:v>
                </c:pt>
                <c:pt idx="18">
                  <c:v>Kampala</c:v>
                </c:pt>
                <c:pt idx="19">
                  <c:v>South West</c:v>
                </c:pt>
                <c:pt idx="20">
                  <c:v>North East</c:v>
                </c:pt>
                <c:pt idx="21">
                  <c:v>Central1</c:v>
                </c:pt>
                <c:pt idx="23">
                  <c:v>Uganda</c:v>
                </c:pt>
              </c:strCache>
            </c:strRef>
          </c:cat>
          <c:val>
            <c:numRef>
              <c:f>'Cervical cancer_Avail'!$E$35:$E$58</c:f>
              <c:numCache>
                <c:formatCode>General</c:formatCode>
                <c:ptCount val="24"/>
                <c:pt idx="12">
                  <c:v>0</c:v>
                </c:pt>
                <c:pt idx="13">
                  <c:v>0</c:v>
                </c:pt>
                <c:pt idx="14">
                  <c:v>10</c:v>
                </c:pt>
                <c:pt idx="15">
                  <c:v>12</c:v>
                </c:pt>
                <c:pt idx="16">
                  <c:v>15</c:v>
                </c:pt>
                <c:pt idx="17">
                  <c:v>26</c:v>
                </c:pt>
                <c:pt idx="18">
                  <c:v>33</c:v>
                </c:pt>
                <c:pt idx="19">
                  <c:v>48</c:v>
                </c:pt>
                <c:pt idx="20">
                  <c:v>50</c:v>
                </c:pt>
                <c:pt idx="21">
                  <c:v>57</c:v>
                </c:pt>
              </c:numCache>
            </c:numRef>
          </c:val>
          <c:extLst>
            <c:ext xmlns:c16="http://schemas.microsoft.com/office/drawing/2014/chart" uri="{C3380CC4-5D6E-409C-BE32-E72D297353CC}">
              <c16:uniqueId val="{00000003-1F76-42F2-A2ED-74368C2F0E21}"/>
            </c:ext>
          </c:extLst>
        </c:ser>
        <c:ser>
          <c:idx val="4"/>
          <c:order val="4"/>
          <c:tx>
            <c:strRef>
              <c:f>'Cervical cancer_Avail'!$F$33:$F$34</c:f>
              <c:strCache>
                <c:ptCount val="2"/>
                <c:pt idx="0">
                  <c:v>National</c:v>
                </c:pt>
              </c:strCache>
            </c:strRef>
          </c:tx>
          <c:spPr>
            <a:solidFill>
              <a:schemeClr val="accent5"/>
            </a:solidFill>
            <a:ln>
              <a:noFill/>
            </a:ln>
            <a:effectLst/>
          </c:spPr>
          <c:invertIfNegative val="0"/>
          <c:dPt>
            <c:idx val="23"/>
            <c:invertIfNegative val="0"/>
            <c:bubble3D val="0"/>
            <c:spPr>
              <a:pattFill prst="wdDnDiag">
                <a:fgClr>
                  <a:srgbClr val="FF0000"/>
                </a:fgClr>
                <a:bgClr>
                  <a:schemeClr val="bg1"/>
                </a:bgClr>
              </a:pattFill>
              <a:ln>
                <a:solidFill>
                  <a:srgbClr val="FF0000"/>
                </a:solidFill>
              </a:ln>
              <a:effectLst/>
            </c:spPr>
            <c:extLst>
              <c:ext xmlns:c16="http://schemas.microsoft.com/office/drawing/2014/chart" uri="{C3380CC4-5D6E-409C-BE32-E72D297353CC}">
                <c16:uniqueId val="{00000005-1F76-42F2-A2ED-74368C2F0E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cancer_Avail'!$A$35:$A$58</c:f>
              <c:strCache>
                <c:ptCount val="24"/>
                <c:pt idx="0">
                  <c:v>Regional hospital</c:v>
                </c:pt>
                <c:pt idx="1">
                  <c:v>General Hospital</c:v>
                </c:pt>
                <c:pt idx="2">
                  <c:v>HC IV</c:v>
                </c:pt>
                <c:pt idx="3">
                  <c:v>HC III</c:v>
                </c:pt>
                <c:pt idx="4">
                  <c:v>HC II</c:v>
                </c:pt>
                <c:pt idx="6">
                  <c:v>Public</c:v>
                </c:pt>
                <c:pt idx="7">
                  <c:v>Private</c:v>
                </c:pt>
                <c:pt idx="9">
                  <c:v>Urban</c:v>
                </c:pt>
                <c:pt idx="10">
                  <c:v>Rural</c:v>
                </c:pt>
                <c:pt idx="12">
                  <c:v>Central2</c:v>
                </c:pt>
                <c:pt idx="13">
                  <c:v>Karamoja</c:v>
                </c:pt>
                <c:pt idx="14">
                  <c:v>Mid-West</c:v>
                </c:pt>
                <c:pt idx="15">
                  <c:v>West Nile</c:v>
                </c:pt>
                <c:pt idx="16">
                  <c:v>Mid-North</c:v>
                </c:pt>
                <c:pt idx="17">
                  <c:v>Mid East</c:v>
                </c:pt>
                <c:pt idx="18">
                  <c:v>Kampala</c:v>
                </c:pt>
                <c:pt idx="19">
                  <c:v>South West</c:v>
                </c:pt>
                <c:pt idx="20">
                  <c:v>North East</c:v>
                </c:pt>
                <c:pt idx="21">
                  <c:v>Central1</c:v>
                </c:pt>
                <c:pt idx="23">
                  <c:v>Uganda</c:v>
                </c:pt>
              </c:strCache>
            </c:strRef>
          </c:cat>
          <c:val>
            <c:numRef>
              <c:f>'Cervical cancer_Avail'!$F$35:$F$58</c:f>
              <c:numCache>
                <c:formatCode>General</c:formatCode>
                <c:ptCount val="24"/>
                <c:pt idx="23">
                  <c:v>31</c:v>
                </c:pt>
              </c:numCache>
            </c:numRef>
          </c:val>
          <c:extLst>
            <c:ext xmlns:c16="http://schemas.microsoft.com/office/drawing/2014/chart" uri="{C3380CC4-5D6E-409C-BE32-E72D297353CC}">
              <c16:uniqueId val="{00000004-1F76-42F2-A2ED-74368C2F0E21}"/>
            </c:ext>
          </c:extLst>
        </c:ser>
        <c:dLbls>
          <c:dLblPos val="outEnd"/>
          <c:showLegendKey val="0"/>
          <c:showVal val="1"/>
          <c:showCatName val="0"/>
          <c:showSerName val="0"/>
          <c:showPercent val="0"/>
          <c:showBubbleSize val="0"/>
        </c:dLbls>
        <c:gapWidth val="15"/>
        <c:overlap val="100"/>
        <c:axId val="531114600"/>
        <c:axId val="531114992"/>
      </c:barChart>
      <c:catAx>
        <c:axId val="531114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531114992"/>
        <c:crosses val="autoZero"/>
        <c:auto val="1"/>
        <c:lblAlgn val="ctr"/>
        <c:lblOffset val="100"/>
        <c:noMultiLvlLbl val="0"/>
      </c:catAx>
      <c:valAx>
        <c:axId val="531114992"/>
        <c:scaling>
          <c:orientation val="minMax"/>
          <c:max val="100"/>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114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CVD_Ready!$B$77</c:f>
              <c:strCache>
                <c:ptCount val="1"/>
                <c:pt idx="0">
                  <c:v>Staff and guides</c:v>
                </c:pt>
              </c:strCache>
            </c:strRef>
          </c:tx>
          <c:spPr>
            <a:solidFill>
              <a:schemeClr val="accent1"/>
            </a:solidFill>
            <a:ln>
              <a:noFill/>
            </a:ln>
            <a:effectLst/>
          </c:spPr>
          <c:invertIfNegative val="0"/>
          <c:cat>
            <c:strRef>
              <c:f>CVD_Ready!$A$78:$A$95</c:f>
              <c:strCache>
                <c:ptCount val="18"/>
                <c:pt idx="0">
                  <c:v>Guidelines</c:v>
                </c:pt>
                <c:pt idx="1">
                  <c:v>Staff trained</c:v>
                </c:pt>
                <c:pt idx="2">
                  <c:v>Stethoscope</c:v>
                </c:pt>
                <c:pt idx="3">
                  <c:v>Blood pressure machine</c:v>
                </c:pt>
                <c:pt idx="4">
                  <c:v>Adult weighing scale</c:v>
                </c:pt>
                <c:pt idx="5">
                  <c:v>Oxygen delivery apparatus</c:v>
                </c:pt>
                <c:pt idx="6">
                  <c:v>A calcium channel blocker</c:v>
                </c:pt>
                <c:pt idx="7">
                  <c:v>Furosemide</c:v>
                </c:pt>
                <c:pt idx="8">
                  <c:v>A beta blocker</c:v>
                </c:pt>
                <c:pt idx="9">
                  <c:v>Aspirin tab/cap</c:v>
                </c:pt>
                <c:pt idx="10">
                  <c:v>A thiazide diuretic</c:v>
                </c:pt>
                <c:pt idx="11">
                  <c:v>AN ACE inhibitor</c:v>
                </c:pt>
                <c:pt idx="12">
                  <c:v> Spironolactone</c:v>
                </c:pt>
                <c:pt idx="13">
                  <c:v>Isosorbide dinitrate</c:v>
                </c:pt>
                <c:pt idx="14">
                  <c:v>Glycerl trinitrate sublingual</c:v>
                </c:pt>
                <c:pt idx="15">
                  <c:v>Simvastatin cap/tab</c:v>
                </c:pt>
                <c:pt idx="16">
                  <c:v>Facilities with all tracer items</c:v>
                </c:pt>
                <c:pt idx="17">
                  <c:v>Mean of tracer items</c:v>
                </c:pt>
              </c:strCache>
            </c:strRef>
          </c:cat>
          <c:val>
            <c:numRef>
              <c:f>CVD_Ready!$B$78:$B$95</c:f>
              <c:numCache>
                <c:formatCode>General</c:formatCode>
                <c:ptCount val="18"/>
                <c:pt idx="0">
                  <c:v>41</c:v>
                </c:pt>
                <c:pt idx="1">
                  <c:v>30</c:v>
                </c:pt>
              </c:numCache>
            </c:numRef>
          </c:val>
          <c:extLst>
            <c:ext xmlns:c16="http://schemas.microsoft.com/office/drawing/2014/chart" uri="{C3380CC4-5D6E-409C-BE32-E72D297353CC}">
              <c16:uniqueId val="{00000000-4DFA-4546-B715-B3CF7CD987ED}"/>
            </c:ext>
          </c:extLst>
        </c:ser>
        <c:ser>
          <c:idx val="1"/>
          <c:order val="1"/>
          <c:tx>
            <c:strRef>
              <c:f>CVD_Ready!$C$77</c:f>
              <c:strCache>
                <c:ptCount val="1"/>
                <c:pt idx="0">
                  <c:v>Equipment</c:v>
                </c:pt>
              </c:strCache>
            </c:strRef>
          </c:tx>
          <c:spPr>
            <a:solidFill>
              <a:schemeClr val="accent2"/>
            </a:solidFill>
            <a:ln>
              <a:noFill/>
            </a:ln>
            <a:effectLst/>
          </c:spPr>
          <c:invertIfNegative val="0"/>
          <c:cat>
            <c:strRef>
              <c:f>CVD_Ready!$A$78:$A$95</c:f>
              <c:strCache>
                <c:ptCount val="18"/>
                <c:pt idx="0">
                  <c:v>Guidelines</c:v>
                </c:pt>
                <c:pt idx="1">
                  <c:v>Staff trained</c:v>
                </c:pt>
                <c:pt idx="2">
                  <c:v>Stethoscope</c:v>
                </c:pt>
                <c:pt idx="3">
                  <c:v>Blood pressure machine</c:v>
                </c:pt>
                <c:pt idx="4">
                  <c:v>Adult weighing scale</c:v>
                </c:pt>
                <c:pt idx="5">
                  <c:v>Oxygen delivery apparatus</c:v>
                </c:pt>
                <c:pt idx="6">
                  <c:v>A calcium channel blocker</c:v>
                </c:pt>
                <c:pt idx="7">
                  <c:v>Furosemide</c:v>
                </c:pt>
                <c:pt idx="8">
                  <c:v>A beta blocker</c:v>
                </c:pt>
                <c:pt idx="9">
                  <c:v>Aspirin tab/cap</c:v>
                </c:pt>
                <c:pt idx="10">
                  <c:v>A thiazide diuretic</c:v>
                </c:pt>
                <c:pt idx="11">
                  <c:v>AN ACE inhibitor</c:v>
                </c:pt>
                <c:pt idx="12">
                  <c:v> Spironolactone</c:v>
                </c:pt>
                <c:pt idx="13">
                  <c:v>Isosorbide dinitrate</c:v>
                </c:pt>
                <c:pt idx="14">
                  <c:v>Glycerl trinitrate sublingual</c:v>
                </c:pt>
                <c:pt idx="15">
                  <c:v>Simvastatin cap/tab</c:v>
                </c:pt>
                <c:pt idx="16">
                  <c:v>Facilities with all tracer items</c:v>
                </c:pt>
                <c:pt idx="17">
                  <c:v>Mean of tracer items</c:v>
                </c:pt>
              </c:strCache>
            </c:strRef>
          </c:cat>
          <c:val>
            <c:numRef>
              <c:f>CVD_Ready!$C$78:$C$95</c:f>
              <c:numCache>
                <c:formatCode>General</c:formatCode>
                <c:ptCount val="18"/>
                <c:pt idx="2">
                  <c:v>94</c:v>
                </c:pt>
                <c:pt idx="3">
                  <c:v>92</c:v>
                </c:pt>
                <c:pt idx="4">
                  <c:v>83</c:v>
                </c:pt>
                <c:pt idx="5">
                  <c:v>23</c:v>
                </c:pt>
              </c:numCache>
            </c:numRef>
          </c:val>
          <c:extLst>
            <c:ext xmlns:c16="http://schemas.microsoft.com/office/drawing/2014/chart" uri="{C3380CC4-5D6E-409C-BE32-E72D297353CC}">
              <c16:uniqueId val="{00000001-4DFA-4546-B715-B3CF7CD987ED}"/>
            </c:ext>
          </c:extLst>
        </c:ser>
        <c:ser>
          <c:idx val="2"/>
          <c:order val="2"/>
          <c:tx>
            <c:strRef>
              <c:f>CVD_Ready!$D$77</c:f>
              <c:strCache>
                <c:ptCount val="1"/>
                <c:pt idx="0">
                  <c:v>Medicines &amp; commodies</c:v>
                </c:pt>
              </c:strCache>
            </c:strRef>
          </c:tx>
          <c:spPr>
            <a:solidFill>
              <a:schemeClr val="accent3"/>
            </a:solidFill>
            <a:ln>
              <a:noFill/>
            </a:ln>
            <a:effectLst/>
          </c:spPr>
          <c:invertIfNegative val="0"/>
          <c:cat>
            <c:strRef>
              <c:f>CVD_Ready!$A$78:$A$95</c:f>
              <c:strCache>
                <c:ptCount val="18"/>
                <c:pt idx="0">
                  <c:v>Guidelines</c:v>
                </c:pt>
                <c:pt idx="1">
                  <c:v>Staff trained</c:v>
                </c:pt>
                <c:pt idx="2">
                  <c:v>Stethoscope</c:v>
                </c:pt>
                <c:pt idx="3">
                  <c:v>Blood pressure machine</c:v>
                </c:pt>
                <c:pt idx="4">
                  <c:v>Adult weighing scale</c:v>
                </c:pt>
                <c:pt idx="5">
                  <c:v>Oxygen delivery apparatus</c:v>
                </c:pt>
                <c:pt idx="6">
                  <c:v>A calcium channel blocker</c:v>
                </c:pt>
                <c:pt idx="7">
                  <c:v>Furosemide</c:v>
                </c:pt>
                <c:pt idx="8">
                  <c:v>A beta blocker</c:v>
                </c:pt>
                <c:pt idx="9">
                  <c:v>Aspirin tab/cap</c:v>
                </c:pt>
                <c:pt idx="10">
                  <c:v>A thiazide diuretic</c:v>
                </c:pt>
                <c:pt idx="11">
                  <c:v>AN ACE inhibitor</c:v>
                </c:pt>
                <c:pt idx="12">
                  <c:v> Spironolactone</c:v>
                </c:pt>
                <c:pt idx="13">
                  <c:v>Isosorbide dinitrate</c:v>
                </c:pt>
                <c:pt idx="14">
                  <c:v>Glycerl trinitrate sublingual</c:v>
                </c:pt>
                <c:pt idx="15">
                  <c:v>Simvastatin cap/tab</c:v>
                </c:pt>
                <c:pt idx="16">
                  <c:v>Facilities with all tracer items</c:v>
                </c:pt>
                <c:pt idx="17">
                  <c:v>Mean of tracer items</c:v>
                </c:pt>
              </c:strCache>
            </c:strRef>
          </c:cat>
          <c:val>
            <c:numRef>
              <c:f>CVD_Ready!$D$78:$D$95</c:f>
              <c:numCache>
                <c:formatCode>General</c:formatCode>
                <c:ptCount val="18"/>
                <c:pt idx="6">
                  <c:v>55</c:v>
                </c:pt>
                <c:pt idx="7">
                  <c:v>48</c:v>
                </c:pt>
                <c:pt idx="8">
                  <c:v>40</c:v>
                </c:pt>
                <c:pt idx="9">
                  <c:v>37</c:v>
                </c:pt>
                <c:pt idx="10">
                  <c:v>32</c:v>
                </c:pt>
                <c:pt idx="11">
                  <c:v>29</c:v>
                </c:pt>
                <c:pt idx="12">
                  <c:v>26</c:v>
                </c:pt>
                <c:pt idx="13">
                  <c:v>21</c:v>
                </c:pt>
                <c:pt idx="14">
                  <c:v>20</c:v>
                </c:pt>
                <c:pt idx="15">
                  <c:v>15</c:v>
                </c:pt>
              </c:numCache>
            </c:numRef>
          </c:val>
          <c:extLst>
            <c:ext xmlns:c16="http://schemas.microsoft.com/office/drawing/2014/chart" uri="{C3380CC4-5D6E-409C-BE32-E72D297353CC}">
              <c16:uniqueId val="{00000002-4DFA-4546-B715-B3CF7CD987ED}"/>
            </c:ext>
          </c:extLst>
        </c:ser>
        <c:ser>
          <c:idx val="3"/>
          <c:order val="3"/>
          <c:tx>
            <c:strRef>
              <c:f>CVD_Ready!$E$77</c:f>
              <c:strCache>
                <c:ptCount val="1"/>
                <c:pt idx="0">
                  <c:v>Readiness score</c:v>
                </c:pt>
              </c:strCache>
            </c:strRef>
          </c:tx>
          <c:spPr>
            <a:solidFill>
              <a:schemeClr val="accent4"/>
            </a:solidFill>
            <a:ln>
              <a:noFill/>
            </a:ln>
            <a:effectLst/>
          </c:spPr>
          <c:invertIfNegative val="0"/>
          <c:cat>
            <c:strRef>
              <c:f>CVD_Ready!$A$78:$A$95</c:f>
              <c:strCache>
                <c:ptCount val="18"/>
                <c:pt idx="0">
                  <c:v>Guidelines</c:v>
                </c:pt>
                <c:pt idx="1">
                  <c:v>Staff trained</c:v>
                </c:pt>
                <c:pt idx="2">
                  <c:v>Stethoscope</c:v>
                </c:pt>
                <c:pt idx="3">
                  <c:v>Blood pressure machine</c:v>
                </c:pt>
                <c:pt idx="4">
                  <c:v>Adult weighing scale</c:v>
                </c:pt>
                <c:pt idx="5">
                  <c:v>Oxygen delivery apparatus</c:v>
                </c:pt>
                <c:pt idx="6">
                  <c:v>A calcium channel blocker</c:v>
                </c:pt>
                <c:pt idx="7">
                  <c:v>Furosemide</c:v>
                </c:pt>
                <c:pt idx="8">
                  <c:v>A beta blocker</c:v>
                </c:pt>
                <c:pt idx="9">
                  <c:v>Aspirin tab/cap</c:v>
                </c:pt>
                <c:pt idx="10">
                  <c:v>A thiazide diuretic</c:v>
                </c:pt>
                <c:pt idx="11">
                  <c:v>AN ACE inhibitor</c:v>
                </c:pt>
                <c:pt idx="12">
                  <c:v> Spironolactone</c:v>
                </c:pt>
                <c:pt idx="13">
                  <c:v>Isosorbide dinitrate</c:v>
                </c:pt>
                <c:pt idx="14">
                  <c:v>Glycerl trinitrate sublingual</c:v>
                </c:pt>
                <c:pt idx="15">
                  <c:v>Simvastatin cap/tab</c:v>
                </c:pt>
                <c:pt idx="16">
                  <c:v>Facilities with all tracer items</c:v>
                </c:pt>
                <c:pt idx="17">
                  <c:v>Mean of tracer items</c:v>
                </c:pt>
              </c:strCache>
            </c:strRef>
          </c:cat>
          <c:val>
            <c:numRef>
              <c:f>CVD_Ready!$E$78:$E$95</c:f>
              <c:numCache>
                <c:formatCode>General</c:formatCode>
                <c:ptCount val="18"/>
                <c:pt idx="16">
                  <c:v>4</c:v>
                </c:pt>
                <c:pt idx="17" formatCode="0">
                  <c:v>43</c:v>
                </c:pt>
              </c:numCache>
            </c:numRef>
          </c:val>
          <c:extLst>
            <c:ext xmlns:c16="http://schemas.microsoft.com/office/drawing/2014/chart" uri="{C3380CC4-5D6E-409C-BE32-E72D297353CC}">
              <c16:uniqueId val="{00000003-4DFA-4546-B715-B3CF7CD987ED}"/>
            </c:ext>
          </c:extLst>
        </c:ser>
        <c:dLbls>
          <c:showLegendKey val="0"/>
          <c:showVal val="0"/>
          <c:showCatName val="0"/>
          <c:showSerName val="0"/>
          <c:showPercent val="0"/>
          <c:showBubbleSize val="0"/>
        </c:dLbls>
        <c:gapWidth val="10"/>
        <c:overlap val="90"/>
        <c:axId val="518066664"/>
        <c:axId val="518067056"/>
      </c:barChart>
      <c:catAx>
        <c:axId val="5180666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18067056"/>
        <c:crosses val="autoZero"/>
        <c:auto val="1"/>
        <c:lblAlgn val="ctr"/>
        <c:lblOffset val="100"/>
        <c:noMultiLvlLbl val="0"/>
      </c:catAx>
      <c:valAx>
        <c:axId val="518067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18066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3"/>
          <c:order val="3"/>
          <c:tx>
            <c:strRef>
              <c:f>CVD_Ready!$F$99:$F$100</c:f>
              <c:strCache>
                <c:ptCount val="2"/>
                <c:pt idx="0">
                  <c:v>Readiness score</c:v>
                </c:pt>
              </c:strCache>
            </c:strRef>
          </c:tx>
          <c:spPr>
            <a:solidFill>
              <a:srgbClr val="00B0F0"/>
            </a:solidFill>
            <a:ln w="19050">
              <a:solidFill>
                <a:srgbClr val="00B0F0"/>
              </a:solidFill>
            </a:ln>
            <a:effectLst/>
          </c:spPr>
          <c:invertIfNegative val="0"/>
          <c:cat>
            <c:multiLvlStrRef>
              <c:f>CVD_Ready!$A$101:$B$124</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cat>
          <c:val>
            <c:numRef>
              <c:f>CVD_Ready!$F$101:$F$124</c:f>
              <c:numCache>
                <c:formatCode>0</c:formatCode>
                <c:ptCount val="24"/>
                <c:pt idx="0">
                  <c:v>53.125</c:v>
                </c:pt>
                <c:pt idx="1">
                  <c:v>61.71875</c:v>
                </c:pt>
                <c:pt idx="2">
                  <c:v>42.897730000000003</c:v>
                </c:pt>
                <c:pt idx="3">
                  <c:v>37.304690000000001</c:v>
                </c:pt>
                <c:pt idx="4">
                  <c:v>43.014710000000001</c:v>
                </c:pt>
                <c:pt idx="6">
                  <c:v>31.617819999999998</c:v>
                </c:pt>
                <c:pt idx="7">
                  <c:v>49.291580000000003</c:v>
                </c:pt>
                <c:pt idx="9">
                  <c:v>49.999580000000002</c:v>
                </c:pt>
                <c:pt idx="10">
                  <c:v>32.585209999999996</c:v>
                </c:pt>
                <c:pt idx="12">
                  <c:v>44.1875</c:v>
                </c:pt>
                <c:pt idx="13">
                  <c:v>33</c:v>
                </c:pt>
                <c:pt idx="14">
                  <c:v>53.5</c:v>
                </c:pt>
                <c:pt idx="15">
                  <c:v>39.5625</c:v>
                </c:pt>
                <c:pt idx="16">
                  <c:v>32.25</c:v>
                </c:pt>
                <c:pt idx="17">
                  <c:v>29.125</c:v>
                </c:pt>
                <c:pt idx="18">
                  <c:v>35.5625</c:v>
                </c:pt>
                <c:pt idx="19">
                  <c:v>26.1875</c:v>
                </c:pt>
                <c:pt idx="20">
                  <c:v>52.1875</c:v>
                </c:pt>
                <c:pt idx="21">
                  <c:v>30.3125</c:v>
                </c:pt>
                <c:pt idx="23">
                  <c:v>43</c:v>
                </c:pt>
              </c:numCache>
            </c:numRef>
          </c:val>
          <c:extLst>
            <c:ext xmlns:c16="http://schemas.microsoft.com/office/drawing/2014/chart" uri="{C3380CC4-5D6E-409C-BE32-E72D297353CC}">
              <c16:uniqueId val="{00000003-82A3-4E94-93B1-C88D7DFD9D3A}"/>
            </c:ext>
          </c:extLst>
        </c:ser>
        <c:dLbls>
          <c:showLegendKey val="0"/>
          <c:showVal val="0"/>
          <c:showCatName val="0"/>
          <c:showSerName val="0"/>
          <c:showPercent val="0"/>
          <c:showBubbleSize val="0"/>
        </c:dLbls>
        <c:gapWidth val="20"/>
        <c:axId val="367244848"/>
        <c:axId val="552699496"/>
      </c:barChart>
      <c:scatterChart>
        <c:scatterStyle val="lineMarker"/>
        <c:varyColors val="0"/>
        <c:ser>
          <c:idx val="0"/>
          <c:order val="0"/>
          <c:tx>
            <c:strRef>
              <c:f>CVD_Ready!$C$99:$C$100</c:f>
              <c:strCache>
                <c:ptCount val="2"/>
                <c:pt idx="0">
                  <c:v>Staff and guides</c:v>
                </c:pt>
              </c:strCache>
            </c:strRef>
          </c:tx>
          <c:spPr>
            <a:ln w="19050" cap="rnd">
              <a:noFill/>
              <a:round/>
            </a:ln>
            <a:effectLst/>
          </c:spPr>
          <c:marker>
            <c:symbol val="diamond"/>
            <c:size val="7"/>
            <c:spPr>
              <a:solidFill>
                <a:srgbClr val="FF9900"/>
              </a:solidFill>
              <a:ln w="9525">
                <a:solidFill>
                  <a:srgbClr val="FF9900"/>
                </a:solidFill>
              </a:ln>
              <a:effectLst/>
            </c:spPr>
          </c:marker>
          <c:xVal>
            <c:multiLvlStrRef>
              <c:f>[Uganda_results_2019.xlsx]CVD_Ready!$A$101:$B$124</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xVal>
          <c:yVal>
            <c:numRef>
              <c:f>CVD_Ready!$C$101:$C$124</c:f>
              <c:numCache>
                <c:formatCode>0</c:formatCode>
                <c:ptCount val="24"/>
                <c:pt idx="0">
                  <c:v>61</c:v>
                </c:pt>
                <c:pt idx="1">
                  <c:v>52</c:v>
                </c:pt>
                <c:pt idx="2">
                  <c:v>41</c:v>
                </c:pt>
                <c:pt idx="3">
                  <c:v>36</c:v>
                </c:pt>
                <c:pt idx="4">
                  <c:v>32</c:v>
                </c:pt>
                <c:pt idx="6">
                  <c:v>39.5</c:v>
                </c:pt>
                <c:pt idx="7">
                  <c:v>33</c:v>
                </c:pt>
                <c:pt idx="9">
                  <c:v>38</c:v>
                </c:pt>
                <c:pt idx="10">
                  <c:v>33</c:v>
                </c:pt>
                <c:pt idx="12">
                  <c:v>47</c:v>
                </c:pt>
                <c:pt idx="13">
                  <c:v>2</c:v>
                </c:pt>
                <c:pt idx="14">
                  <c:v>36.5</c:v>
                </c:pt>
                <c:pt idx="15">
                  <c:v>3.5</c:v>
                </c:pt>
                <c:pt idx="16">
                  <c:v>24.5</c:v>
                </c:pt>
                <c:pt idx="17">
                  <c:v>47</c:v>
                </c:pt>
                <c:pt idx="18">
                  <c:v>13.5</c:v>
                </c:pt>
                <c:pt idx="19">
                  <c:v>56</c:v>
                </c:pt>
                <c:pt idx="20">
                  <c:v>51</c:v>
                </c:pt>
                <c:pt idx="21">
                  <c:v>56</c:v>
                </c:pt>
                <c:pt idx="23">
                  <c:v>35.5</c:v>
                </c:pt>
              </c:numCache>
            </c:numRef>
          </c:yVal>
          <c:smooth val="0"/>
          <c:extLst>
            <c:ext xmlns:c16="http://schemas.microsoft.com/office/drawing/2014/chart" uri="{C3380CC4-5D6E-409C-BE32-E72D297353CC}">
              <c16:uniqueId val="{00000000-82A3-4E94-93B1-C88D7DFD9D3A}"/>
            </c:ext>
          </c:extLst>
        </c:ser>
        <c:ser>
          <c:idx val="1"/>
          <c:order val="1"/>
          <c:tx>
            <c:strRef>
              <c:f>CVD_Ready!$D$99:$D$100</c:f>
              <c:strCache>
                <c:ptCount val="2"/>
                <c:pt idx="0">
                  <c:v>Equipment</c:v>
                </c:pt>
              </c:strCache>
            </c:strRef>
          </c:tx>
          <c:spPr>
            <a:ln w="19050" cap="rnd">
              <a:noFill/>
              <a:round/>
            </a:ln>
            <a:effectLst/>
          </c:spPr>
          <c:marker>
            <c:symbol val="circle"/>
            <c:size val="7"/>
            <c:spPr>
              <a:noFill/>
              <a:ln w="9525">
                <a:solidFill>
                  <a:schemeClr val="accent2">
                    <a:lumMod val="50000"/>
                  </a:schemeClr>
                </a:solidFill>
              </a:ln>
              <a:effectLst/>
            </c:spPr>
          </c:marker>
          <c:xVal>
            <c:multiLvlStrRef>
              <c:f>[Uganda_results_2019.xlsx]CVD_Ready!$A$101:$B$124</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xVal>
          <c:yVal>
            <c:numRef>
              <c:f>CVD_Ready!$D$101:$D$124</c:f>
              <c:numCache>
                <c:formatCode>0</c:formatCode>
                <c:ptCount val="24"/>
                <c:pt idx="0">
                  <c:v>87.5</c:v>
                </c:pt>
                <c:pt idx="1">
                  <c:v>88.75</c:v>
                </c:pt>
                <c:pt idx="2">
                  <c:v>76.25</c:v>
                </c:pt>
                <c:pt idx="3">
                  <c:v>69.25</c:v>
                </c:pt>
                <c:pt idx="4">
                  <c:v>73.5</c:v>
                </c:pt>
                <c:pt idx="6">
                  <c:v>66</c:v>
                </c:pt>
                <c:pt idx="7">
                  <c:v>78.25</c:v>
                </c:pt>
                <c:pt idx="9">
                  <c:v>75</c:v>
                </c:pt>
                <c:pt idx="10">
                  <c:v>71</c:v>
                </c:pt>
                <c:pt idx="12">
                  <c:v>82.5</c:v>
                </c:pt>
                <c:pt idx="13">
                  <c:v>64.75</c:v>
                </c:pt>
                <c:pt idx="14">
                  <c:v>77</c:v>
                </c:pt>
                <c:pt idx="15">
                  <c:v>75.75</c:v>
                </c:pt>
                <c:pt idx="16">
                  <c:v>58.5</c:v>
                </c:pt>
                <c:pt idx="17">
                  <c:v>64.5</c:v>
                </c:pt>
                <c:pt idx="18">
                  <c:v>79</c:v>
                </c:pt>
                <c:pt idx="19">
                  <c:v>53.75</c:v>
                </c:pt>
                <c:pt idx="20">
                  <c:v>80</c:v>
                </c:pt>
                <c:pt idx="21">
                  <c:v>56</c:v>
                </c:pt>
                <c:pt idx="23">
                  <c:v>73</c:v>
                </c:pt>
              </c:numCache>
            </c:numRef>
          </c:yVal>
          <c:smooth val="0"/>
          <c:extLst>
            <c:ext xmlns:c16="http://schemas.microsoft.com/office/drawing/2014/chart" uri="{C3380CC4-5D6E-409C-BE32-E72D297353CC}">
              <c16:uniqueId val="{00000001-82A3-4E94-93B1-C88D7DFD9D3A}"/>
            </c:ext>
          </c:extLst>
        </c:ser>
        <c:ser>
          <c:idx val="2"/>
          <c:order val="2"/>
          <c:tx>
            <c:strRef>
              <c:f>CVD_Ready!$E$99:$E$100</c:f>
              <c:strCache>
                <c:ptCount val="2"/>
                <c:pt idx="0">
                  <c:v>Medicines </c:v>
                </c:pt>
              </c:strCache>
            </c:strRef>
          </c:tx>
          <c:spPr>
            <a:ln w="19050" cap="rnd">
              <a:noFill/>
              <a:round/>
            </a:ln>
            <a:effectLst/>
          </c:spPr>
          <c:marker>
            <c:symbol val="plus"/>
            <c:size val="7"/>
            <c:spPr>
              <a:noFill/>
              <a:ln w="9525">
                <a:solidFill>
                  <a:srgbClr val="C00000"/>
                </a:solidFill>
              </a:ln>
              <a:effectLst/>
            </c:spPr>
          </c:marker>
          <c:xVal>
            <c:multiLvlStrRef>
              <c:f>[Uganda_results_2019.xlsx]CVD_Ready!$A$101:$B$124</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xVal>
          <c:yVal>
            <c:numRef>
              <c:f>CVD_Ready!$E$101:$E$124</c:f>
              <c:numCache>
                <c:formatCode>0</c:formatCode>
                <c:ptCount val="24"/>
                <c:pt idx="0">
                  <c:v>37.799999999999997</c:v>
                </c:pt>
                <c:pt idx="1">
                  <c:v>57.6</c:v>
                </c:pt>
                <c:pt idx="2">
                  <c:v>31.5</c:v>
                </c:pt>
                <c:pt idx="3">
                  <c:v>26.5</c:v>
                </c:pt>
                <c:pt idx="4">
                  <c:v>35.1</c:v>
                </c:pt>
                <c:pt idx="6">
                  <c:v>17.100000000000001</c:v>
                </c:pt>
                <c:pt idx="7">
                  <c:v>44.1</c:v>
                </c:pt>
                <c:pt idx="9">
                  <c:v>44.8</c:v>
                </c:pt>
                <c:pt idx="10">
                  <c:v>18.5</c:v>
                </c:pt>
                <c:pt idx="12">
                  <c:v>28.3</c:v>
                </c:pt>
                <c:pt idx="13">
                  <c:v>26.5</c:v>
                </c:pt>
                <c:pt idx="14">
                  <c:v>47.5</c:v>
                </c:pt>
                <c:pt idx="15">
                  <c:v>32.299999999999997</c:v>
                </c:pt>
                <c:pt idx="16">
                  <c:v>23.3</c:v>
                </c:pt>
                <c:pt idx="17">
                  <c:v>11.4</c:v>
                </c:pt>
                <c:pt idx="18">
                  <c:v>22.6</c:v>
                </c:pt>
                <c:pt idx="19">
                  <c:v>9.1999999999999993</c:v>
                </c:pt>
                <c:pt idx="20">
                  <c:v>41.3</c:v>
                </c:pt>
                <c:pt idx="21">
                  <c:v>14.9</c:v>
                </c:pt>
                <c:pt idx="23">
                  <c:v>32.5</c:v>
                </c:pt>
              </c:numCache>
            </c:numRef>
          </c:yVal>
          <c:smooth val="0"/>
          <c:extLst>
            <c:ext xmlns:c16="http://schemas.microsoft.com/office/drawing/2014/chart" uri="{C3380CC4-5D6E-409C-BE32-E72D297353CC}">
              <c16:uniqueId val="{00000002-82A3-4E94-93B1-C88D7DFD9D3A}"/>
            </c:ext>
          </c:extLst>
        </c:ser>
        <c:dLbls>
          <c:showLegendKey val="0"/>
          <c:showVal val="0"/>
          <c:showCatName val="0"/>
          <c:showSerName val="0"/>
          <c:showPercent val="0"/>
          <c:showBubbleSize val="0"/>
        </c:dLbls>
        <c:axId val="367244848"/>
        <c:axId val="552699496"/>
      </c:scatterChart>
      <c:catAx>
        <c:axId val="367244848"/>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52699496"/>
        <c:crosses val="autoZero"/>
        <c:auto val="1"/>
        <c:lblAlgn val="ctr"/>
        <c:lblOffset val="100"/>
        <c:noMultiLvlLbl val="0"/>
      </c:catAx>
      <c:valAx>
        <c:axId val="552699496"/>
        <c:scaling>
          <c:orientation val="minMax"/>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4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'Cervical cancer_Ready'!$B$71</c:f>
              <c:strCache>
                <c:ptCount val="1"/>
                <c:pt idx="0">
                  <c:v>Uganda</c:v>
                </c:pt>
              </c:strCache>
            </c:strRef>
          </c:tx>
          <c:spPr>
            <a:solidFill>
              <a:schemeClr val="accent4">
                <a:lumMod val="50000"/>
              </a:schemeClr>
            </a:solidFill>
            <a:ln>
              <a:solidFill>
                <a:schemeClr val="accent4">
                  <a:lumMod val="5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cancer_Ready'!$A$72:$A$76</c:f>
              <c:strCache>
                <c:ptCount val="5"/>
                <c:pt idx="0">
                  <c:v>Trained staff</c:v>
                </c:pt>
                <c:pt idx="1">
                  <c:v> Acetic acid </c:v>
                </c:pt>
                <c:pt idx="2">
                  <c:v>Speculum</c:v>
                </c:pt>
                <c:pt idx="3">
                  <c:v>Percent of facilities with all items</c:v>
                </c:pt>
                <c:pt idx="4">
                  <c:v>Mean availability of the tracer items</c:v>
                </c:pt>
              </c:strCache>
            </c:strRef>
          </c:cat>
          <c:val>
            <c:numRef>
              <c:f>'Cervical cancer_Ready'!$B$72:$B$76</c:f>
              <c:numCache>
                <c:formatCode>General</c:formatCode>
                <c:ptCount val="5"/>
                <c:pt idx="0">
                  <c:v>100</c:v>
                </c:pt>
                <c:pt idx="1">
                  <c:v>93</c:v>
                </c:pt>
                <c:pt idx="2">
                  <c:v>99</c:v>
                </c:pt>
                <c:pt idx="3">
                  <c:v>49</c:v>
                </c:pt>
                <c:pt idx="4" formatCode="0">
                  <c:v>97</c:v>
                </c:pt>
              </c:numCache>
            </c:numRef>
          </c:val>
          <c:extLst>
            <c:ext xmlns:c16="http://schemas.microsoft.com/office/drawing/2014/chart" uri="{C3380CC4-5D6E-409C-BE32-E72D297353CC}">
              <c16:uniqueId val="{00000000-0C60-4352-9C4F-65AC633D4680}"/>
            </c:ext>
          </c:extLst>
        </c:ser>
        <c:dLbls>
          <c:dLblPos val="outEnd"/>
          <c:showLegendKey val="0"/>
          <c:showVal val="1"/>
          <c:showCatName val="0"/>
          <c:showSerName val="0"/>
          <c:showPercent val="0"/>
          <c:showBubbleSize val="0"/>
        </c:dLbls>
        <c:gapWidth val="120"/>
        <c:overlap val="-27"/>
        <c:axId val="552699888"/>
        <c:axId val="552700280"/>
      </c:barChart>
      <c:catAx>
        <c:axId val="55269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552700280"/>
        <c:crosses val="autoZero"/>
        <c:auto val="1"/>
        <c:lblAlgn val="ctr"/>
        <c:lblOffset val="100"/>
        <c:noMultiLvlLbl val="0"/>
      </c:catAx>
      <c:valAx>
        <c:axId val="552700280"/>
        <c:scaling>
          <c:orientation val="minMax"/>
          <c:max val="100"/>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52699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'Cervical cancer_Ready'!$B$79:$B$80</c:f>
              <c:strCache>
                <c:ptCount val="2"/>
                <c:pt idx="0">
                  <c:v>Level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cancer_Ready'!$A$81:$A$104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Mid-North</c:v>
                </c:pt>
                <c:pt idx="13">
                  <c:v>North East</c:v>
                </c:pt>
                <c:pt idx="14">
                  <c:v>West Nile</c:v>
                </c:pt>
                <c:pt idx="15">
                  <c:v>Kampala</c:v>
                </c:pt>
                <c:pt idx="16">
                  <c:v>Mid East</c:v>
                </c:pt>
                <c:pt idx="17">
                  <c:v>Central2</c:v>
                </c:pt>
                <c:pt idx="18">
                  <c:v>South West</c:v>
                </c:pt>
                <c:pt idx="19">
                  <c:v>Karamoja</c:v>
                </c:pt>
                <c:pt idx="20">
                  <c:v>Central1</c:v>
                </c:pt>
                <c:pt idx="21">
                  <c:v>Mid-West</c:v>
                </c:pt>
                <c:pt idx="23">
                  <c:v>Uganda</c:v>
                </c:pt>
              </c:strCache>
            </c:strRef>
          </c:cat>
          <c:val>
            <c:numRef>
              <c:f>'Cervical cancer_Ready'!$B$81:$B$104</c:f>
              <c:numCache>
                <c:formatCode>General</c:formatCode>
                <c:ptCount val="24"/>
                <c:pt idx="0">
                  <c:v>67</c:v>
                </c:pt>
                <c:pt idx="1">
                  <c:v>54</c:v>
                </c:pt>
                <c:pt idx="2">
                  <c:v>25</c:v>
                </c:pt>
                <c:pt idx="3">
                  <c:v>57</c:v>
                </c:pt>
                <c:pt idx="4">
                  <c:v>50</c:v>
                </c:pt>
              </c:numCache>
            </c:numRef>
          </c:val>
          <c:extLst>
            <c:ext xmlns:c16="http://schemas.microsoft.com/office/drawing/2014/chart" uri="{C3380CC4-5D6E-409C-BE32-E72D297353CC}">
              <c16:uniqueId val="{00000000-EDE9-4A6C-8000-32EF19E59681}"/>
            </c:ext>
          </c:extLst>
        </c:ser>
        <c:ser>
          <c:idx val="1"/>
          <c:order val="1"/>
          <c:tx>
            <c:strRef>
              <c:f>'Cervical cancer_Ready'!$C$79:$C$80</c:f>
              <c:strCache>
                <c:ptCount val="2"/>
                <c:pt idx="0">
                  <c:v>Ownership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cancer_Ready'!$A$81:$A$104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Mid-North</c:v>
                </c:pt>
                <c:pt idx="13">
                  <c:v>North East</c:v>
                </c:pt>
                <c:pt idx="14">
                  <c:v>West Nile</c:v>
                </c:pt>
                <c:pt idx="15">
                  <c:v>Kampala</c:v>
                </c:pt>
                <c:pt idx="16">
                  <c:v>Mid East</c:v>
                </c:pt>
                <c:pt idx="17">
                  <c:v>Central2</c:v>
                </c:pt>
                <c:pt idx="18">
                  <c:v>South West</c:v>
                </c:pt>
                <c:pt idx="19">
                  <c:v>Karamoja</c:v>
                </c:pt>
                <c:pt idx="20">
                  <c:v>Central1</c:v>
                </c:pt>
                <c:pt idx="21">
                  <c:v>Mid-West</c:v>
                </c:pt>
                <c:pt idx="23">
                  <c:v>Uganda</c:v>
                </c:pt>
              </c:strCache>
            </c:strRef>
          </c:cat>
          <c:val>
            <c:numRef>
              <c:f>'Cervical cancer_Ready'!$C$81:$C$104</c:f>
              <c:numCache>
                <c:formatCode>General</c:formatCode>
                <c:ptCount val="24"/>
                <c:pt idx="6">
                  <c:v>44</c:v>
                </c:pt>
                <c:pt idx="7">
                  <c:v>53</c:v>
                </c:pt>
              </c:numCache>
            </c:numRef>
          </c:val>
          <c:extLst>
            <c:ext xmlns:c16="http://schemas.microsoft.com/office/drawing/2014/chart" uri="{C3380CC4-5D6E-409C-BE32-E72D297353CC}">
              <c16:uniqueId val="{00000001-EDE9-4A6C-8000-32EF19E59681}"/>
            </c:ext>
          </c:extLst>
        </c:ser>
        <c:ser>
          <c:idx val="2"/>
          <c:order val="2"/>
          <c:tx>
            <c:strRef>
              <c:f>'Cervical cancer_Ready'!$D$79:$D$80</c:f>
              <c:strCache>
                <c:ptCount val="2"/>
                <c:pt idx="0">
                  <c:v>Location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cancer_Ready'!$A$81:$A$104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Mid-North</c:v>
                </c:pt>
                <c:pt idx="13">
                  <c:v>North East</c:v>
                </c:pt>
                <c:pt idx="14">
                  <c:v>West Nile</c:v>
                </c:pt>
                <c:pt idx="15">
                  <c:v>Kampala</c:v>
                </c:pt>
                <c:pt idx="16">
                  <c:v>Mid East</c:v>
                </c:pt>
                <c:pt idx="17">
                  <c:v>Central2</c:v>
                </c:pt>
                <c:pt idx="18">
                  <c:v>South West</c:v>
                </c:pt>
                <c:pt idx="19">
                  <c:v>Karamoja</c:v>
                </c:pt>
                <c:pt idx="20">
                  <c:v>Central1</c:v>
                </c:pt>
                <c:pt idx="21">
                  <c:v>Mid-West</c:v>
                </c:pt>
                <c:pt idx="23">
                  <c:v>Uganda</c:v>
                </c:pt>
              </c:strCache>
            </c:strRef>
          </c:cat>
          <c:val>
            <c:numRef>
              <c:f>'Cervical cancer_Ready'!$D$81:$D$104</c:f>
              <c:numCache>
                <c:formatCode>General</c:formatCode>
                <c:ptCount val="24"/>
                <c:pt idx="9">
                  <c:v>50</c:v>
                </c:pt>
                <c:pt idx="10">
                  <c:v>48</c:v>
                </c:pt>
              </c:numCache>
            </c:numRef>
          </c:val>
          <c:extLst>
            <c:ext xmlns:c16="http://schemas.microsoft.com/office/drawing/2014/chart" uri="{C3380CC4-5D6E-409C-BE32-E72D297353CC}">
              <c16:uniqueId val="{00000002-EDE9-4A6C-8000-32EF19E59681}"/>
            </c:ext>
          </c:extLst>
        </c:ser>
        <c:ser>
          <c:idx val="3"/>
          <c:order val="3"/>
          <c:tx>
            <c:strRef>
              <c:f>'Cervical cancer_Ready'!$E$79:$E$80</c:f>
              <c:strCache>
                <c:ptCount val="2"/>
                <c:pt idx="0">
                  <c:v>Health region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cancer_Ready'!$A$81:$A$104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Mid-North</c:v>
                </c:pt>
                <c:pt idx="13">
                  <c:v>North East</c:v>
                </c:pt>
                <c:pt idx="14">
                  <c:v>West Nile</c:v>
                </c:pt>
                <c:pt idx="15">
                  <c:v>Kampala</c:v>
                </c:pt>
                <c:pt idx="16">
                  <c:v>Mid East</c:v>
                </c:pt>
                <c:pt idx="17">
                  <c:v>Central2</c:v>
                </c:pt>
                <c:pt idx="18">
                  <c:v>South West</c:v>
                </c:pt>
                <c:pt idx="19">
                  <c:v>Karamoja</c:v>
                </c:pt>
                <c:pt idx="20">
                  <c:v>Central1</c:v>
                </c:pt>
                <c:pt idx="21">
                  <c:v>Mid-West</c:v>
                </c:pt>
                <c:pt idx="23">
                  <c:v>Uganda</c:v>
                </c:pt>
              </c:strCache>
            </c:strRef>
          </c:cat>
          <c:val>
            <c:numRef>
              <c:f>'Cervical cancer_Ready'!$E$81:$E$104</c:f>
              <c:numCache>
                <c:formatCode>General</c:formatCode>
                <c:ptCount val="24"/>
                <c:pt idx="12">
                  <c:v>0</c:v>
                </c:pt>
                <c:pt idx="13">
                  <c:v>9</c:v>
                </c:pt>
                <c:pt idx="14">
                  <c:v>28</c:v>
                </c:pt>
                <c:pt idx="15">
                  <c:v>40</c:v>
                </c:pt>
                <c:pt idx="16">
                  <c:v>45</c:v>
                </c:pt>
                <c:pt idx="17">
                  <c:v>50</c:v>
                </c:pt>
                <c:pt idx="18">
                  <c:v>62</c:v>
                </c:pt>
                <c:pt idx="19">
                  <c:v>67</c:v>
                </c:pt>
                <c:pt idx="20">
                  <c:v>71</c:v>
                </c:pt>
                <c:pt idx="21">
                  <c:v>100</c:v>
                </c:pt>
              </c:numCache>
            </c:numRef>
          </c:val>
          <c:extLst>
            <c:ext xmlns:c16="http://schemas.microsoft.com/office/drawing/2014/chart" uri="{C3380CC4-5D6E-409C-BE32-E72D297353CC}">
              <c16:uniqueId val="{00000003-EDE9-4A6C-8000-32EF19E59681}"/>
            </c:ext>
          </c:extLst>
        </c:ser>
        <c:ser>
          <c:idx val="4"/>
          <c:order val="4"/>
          <c:tx>
            <c:strRef>
              <c:f>'Cervical cancer_Ready'!$F$79:$F$80</c:f>
              <c:strCache>
                <c:ptCount val="2"/>
                <c:pt idx="0">
                  <c:v>National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'Cervical cancer_Ready'!$A$81:$A$104</c:f>
              <c:strCache>
                <c:ptCount val="24"/>
                <c:pt idx="0">
                  <c:v>Regional hospital</c:v>
                </c:pt>
                <c:pt idx="1">
                  <c:v>General Hospital</c:v>
                </c:pt>
                <c:pt idx="2">
                  <c:v>HC IV</c:v>
                </c:pt>
                <c:pt idx="3">
                  <c:v>HC III</c:v>
                </c:pt>
                <c:pt idx="4">
                  <c:v>HC II</c:v>
                </c:pt>
                <c:pt idx="6">
                  <c:v>Public</c:v>
                </c:pt>
                <c:pt idx="7">
                  <c:v>Private</c:v>
                </c:pt>
                <c:pt idx="9">
                  <c:v>Urban</c:v>
                </c:pt>
                <c:pt idx="10">
                  <c:v>Rural</c:v>
                </c:pt>
                <c:pt idx="12">
                  <c:v>Mid-North</c:v>
                </c:pt>
                <c:pt idx="13">
                  <c:v>North East</c:v>
                </c:pt>
                <c:pt idx="14">
                  <c:v>West Nile</c:v>
                </c:pt>
                <c:pt idx="15">
                  <c:v>Kampala</c:v>
                </c:pt>
                <c:pt idx="16">
                  <c:v>Mid East</c:v>
                </c:pt>
                <c:pt idx="17">
                  <c:v>Central2</c:v>
                </c:pt>
                <c:pt idx="18">
                  <c:v>South West</c:v>
                </c:pt>
                <c:pt idx="19">
                  <c:v>Karamoja</c:v>
                </c:pt>
                <c:pt idx="20">
                  <c:v>Central1</c:v>
                </c:pt>
                <c:pt idx="21">
                  <c:v>Mid-West</c:v>
                </c:pt>
                <c:pt idx="23">
                  <c:v>Uganda</c:v>
                </c:pt>
              </c:strCache>
            </c:strRef>
          </c:cat>
          <c:val>
            <c:numRef>
              <c:f>'Cervical cancer_Ready'!$F$81:$F$104</c:f>
              <c:numCache>
                <c:formatCode>General</c:formatCode>
                <c:ptCount val="24"/>
                <c:pt idx="23">
                  <c:v>49</c:v>
                </c:pt>
              </c:numCache>
            </c:numRef>
          </c:val>
          <c:extLst>
            <c:ext xmlns:c16="http://schemas.microsoft.com/office/drawing/2014/chart" uri="{C3380CC4-5D6E-409C-BE32-E72D297353CC}">
              <c16:uniqueId val="{00000004-EDE9-4A6C-8000-32EF19E59681}"/>
            </c:ext>
          </c:extLst>
        </c:ser>
        <c:dLbls>
          <c:dLblPos val="outEnd"/>
          <c:showLegendKey val="0"/>
          <c:showVal val="1"/>
          <c:showCatName val="0"/>
          <c:showSerName val="0"/>
          <c:showPercent val="0"/>
          <c:showBubbleSize val="0"/>
        </c:dLbls>
        <c:gapWidth val="10"/>
        <c:overlap val="100"/>
        <c:axId val="552704984"/>
        <c:axId val="552705376"/>
      </c:barChart>
      <c:catAx>
        <c:axId val="552704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552705376"/>
        <c:crosses val="autoZero"/>
        <c:auto val="1"/>
        <c:lblAlgn val="ctr"/>
        <c:lblOffset val="100"/>
        <c:noMultiLvlLbl val="0"/>
      </c:catAx>
      <c:valAx>
        <c:axId val="552705376"/>
        <c:scaling>
          <c:orientation val="minMax"/>
          <c:max val="100"/>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704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Diabetes_ready!$B$76</c:f>
              <c:strCache>
                <c:ptCount val="1"/>
                <c:pt idx="0">
                  <c:v>Staff and guides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Diabetes_ready!$A$77:$A$92</c:f>
              <c:strCache>
                <c:ptCount val="16"/>
                <c:pt idx="0">
                  <c:v>Guidelines</c:v>
                </c:pt>
                <c:pt idx="1">
                  <c:v>Staff trained</c:v>
                </c:pt>
                <c:pt idx="2">
                  <c:v>Blood pressure apparatus</c:v>
                </c:pt>
                <c:pt idx="3">
                  <c:v>Measuring tape</c:v>
                </c:pt>
                <c:pt idx="4">
                  <c:v>Adult weighing scale</c:v>
                </c:pt>
                <c:pt idx="5">
                  <c:v>Blood glucose tests</c:v>
                </c:pt>
                <c:pt idx="6">
                  <c:v>Urine dipstick for protrein</c:v>
                </c:pt>
                <c:pt idx="7">
                  <c:v>Urine dipstick for glucose</c:v>
                </c:pt>
                <c:pt idx="8">
                  <c:v>Urine dipstick for ketone bodies</c:v>
                </c:pt>
                <c:pt idx="9">
                  <c:v>Gliclazide</c:v>
                </c:pt>
                <c:pt idx="10">
                  <c:v>Insulin regular</c:v>
                </c:pt>
                <c:pt idx="11">
                  <c:v>Glibenclamide 5mg  cap/tab</c:v>
                </c:pt>
                <c:pt idx="12">
                  <c:v>Metformin</c:v>
                </c:pt>
                <c:pt idx="13">
                  <c:v>50% injectable glucose</c:v>
                </c:pt>
                <c:pt idx="14">
                  <c:v>Facilities with all tracer items</c:v>
                </c:pt>
                <c:pt idx="15">
                  <c:v>Mean availability of the tracer items</c:v>
                </c:pt>
              </c:strCache>
            </c:strRef>
          </c:cat>
          <c:val>
            <c:numRef>
              <c:f>Diabetes_ready!$B$77:$B$92</c:f>
              <c:numCache>
                <c:formatCode>General</c:formatCode>
                <c:ptCount val="16"/>
                <c:pt idx="0">
                  <c:v>51</c:v>
                </c:pt>
                <c:pt idx="1">
                  <c:v>50</c:v>
                </c:pt>
              </c:numCache>
            </c:numRef>
          </c:val>
          <c:extLst>
            <c:ext xmlns:c16="http://schemas.microsoft.com/office/drawing/2014/chart" uri="{C3380CC4-5D6E-409C-BE32-E72D297353CC}">
              <c16:uniqueId val="{00000000-BC69-443D-B8A3-4A21044B6D4B}"/>
            </c:ext>
          </c:extLst>
        </c:ser>
        <c:ser>
          <c:idx val="1"/>
          <c:order val="1"/>
          <c:tx>
            <c:strRef>
              <c:f>Diabetes_ready!$C$76</c:f>
              <c:strCache>
                <c:ptCount val="1"/>
                <c:pt idx="0">
                  <c:v>Equipment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Diabetes_ready!$A$77:$A$92</c:f>
              <c:strCache>
                <c:ptCount val="16"/>
                <c:pt idx="0">
                  <c:v>Guidelines</c:v>
                </c:pt>
                <c:pt idx="1">
                  <c:v>Staff trained</c:v>
                </c:pt>
                <c:pt idx="2">
                  <c:v>Blood pressure apparatus</c:v>
                </c:pt>
                <c:pt idx="3">
                  <c:v>Measuring tape</c:v>
                </c:pt>
                <c:pt idx="4">
                  <c:v>Adult weighing scale</c:v>
                </c:pt>
                <c:pt idx="5">
                  <c:v>Blood glucose tests</c:v>
                </c:pt>
                <c:pt idx="6">
                  <c:v>Urine dipstick for protrein</c:v>
                </c:pt>
                <c:pt idx="7">
                  <c:v>Urine dipstick for glucose</c:v>
                </c:pt>
                <c:pt idx="8">
                  <c:v>Urine dipstick for ketone bodies</c:v>
                </c:pt>
                <c:pt idx="9">
                  <c:v>Gliclazide</c:v>
                </c:pt>
                <c:pt idx="10">
                  <c:v>Insulin regular</c:v>
                </c:pt>
                <c:pt idx="11">
                  <c:v>Glibenclamide 5mg  cap/tab</c:v>
                </c:pt>
                <c:pt idx="12">
                  <c:v>Metformin</c:v>
                </c:pt>
                <c:pt idx="13">
                  <c:v>50% injectable glucose</c:v>
                </c:pt>
                <c:pt idx="14">
                  <c:v>Facilities with all tracer items</c:v>
                </c:pt>
                <c:pt idx="15">
                  <c:v>Mean availability of the tracer items</c:v>
                </c:pt>
              </c:strCache>
            </c:strRef>
          </c:cat>
          <c:val>
            <c:numRef>
              <c:f>Diabetes_ready!$C$77:$C$92</c:f>
              <c:numCache>
                <c:formatCode>General</c:formatCode>
                <c:ptCount val="16"/>
                <c:pt idx="2">
                  <c:v>94</c:v>
                </c:pt>
                <c:pt idx="3">
                  <c:v>83</c:v>
                </c:pt>
                <c:pt idx="4">
                  <c:v>82</c:v>
                </c:pt>
              </c:numCache>
            </c:numRef>
          </c:val>
          <c:extLst>
            <c:ext xmlns:c16="http://schemas.microsoft.com/office/drawing/2014/chart" uri="{C3380CC4-5D6E-409C-BE32-E72D297353CC}">
              <c16:uniqueId val="{00000001-BC69-443D-B8A3-4A21044B6D4B}"/>
            </c:ext>
          </c:extLst>
        </c:ser>
        <c:ser>
          <c:idx val="2"/>
          <c:order val="2"/>
          <c:tx>
            <c:strRef>
              <c:f>Diabetes_ready!$D$76</c:f>
              <c:strCache>
                <c:ptCount val="1"/>
                <c:pt idx="0">
                  <c:v>Diagnostics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Diabetes_ready!$A$77:$A$92</c:f>
              <c:strCache>
                <c:ptCount val="16"/>
                <c:pt idx="0">
                  <c:v>Guidelines</c:v>
                </c:pt>
                <c:pt idx="1">
                  <c:v>Staff trained</c:v>
                </c:pt>
                <c:pt idx="2">
                  <c:v>Blood pressure apparatus</c:v>
                </c:pt>
                <c:pt idx="3">
                  <c:v>Measuring tape</c:v>
                </c:pt>
                <c:pt idx="4">
                  <c:v>Adult weighing scale</c:v>
                </c:pt>
                <c:pt idx="5">
                  <c:v>Blood glucose tests</c:v>
                </c:pt>
                <c:pt idx="6">
                  <c:v>Urine dipstick for protrein</c:v>
                </c:pt>
                <c:pt idx="7">
                  <c:v>Urine dipstick for glucose</c:v>
                </c:pt>
                <c:pt idx="8">
                  <c:v>Urine dipstick for ketone bodies</c:v>
                </c:pt>
                <c:pt idx="9">
                  <c:v>Gliclazide</c:v>
                </c:pt>
                <c:pt idx="10">
                  <c:v>Insulin regular</c:v>
                </c:pt>
                <c:pt idx="11">
                  <c:v>Glibenclamide 5mg  cap/tab</c:v>
                </c:pt>
                <c:pt idx="12">
                  <c:v>Metformin</c:v>
                </c:pt>
                <c:pt idx="13">
                  <c:v>50% injectable glucose</c:v>
                </c:pt>
                <c:pt idx="14">
                  <c:v>Facilities with all tracer items</c:v>
                </c:pt>
                <c:pt idx="15">
                  <c:v>Mean availability of the tracer items</c:v>
                </c:pt>
              </c:strCache>
            </c:strRef>
          </c:cat>
          <c:val>
            <c:numRef>
              <c:f>Diabetes_ready!$D$77:$D$92</c:f>
              <c:numCache>
                <c:formatCode>General</c:formatCode>
                <c:ptCount val="16"/>
                <c:pt idx="5">
                  <c:v>90</c:v>
                </c:pt>
                <c:pt idx="6">
                  <c:v>100</c:v>
                </c:pt>
                <c:pt idx="7">
                  <c:v>100</c:v>
                </c:pt>
                <c:pt idx="8">
                  <c:v>100</c:v>
                </c:pt>
              </c:numCache>
            </c:numRef>
          </c:val>
          <c:extLst>
            <c:ext xmlns:c16="http://schemas.microsoft.com/office/drawing/2014/chart" uri="{C3380CC4-5D6E-409C-BE32-E72D297353CC}">
              <c16:uniqueId val="{00000002-BC69-443D-B8A3-4A21044B6D4B}"/>
            </c:ext>
          </c:extLst>
        </c:ser>
        <c:ser>
          <c:idx val="3"/>
          <c:order val="3"/>
          <c:tx>
            <c:strRef>
              <c:f>Diabetes_ready!$E$76</c:f>
              <c:strCache>
                <c:ptCount val="1"/>
                <c:pt idx="0">
                  <c:v>Medicines and commodities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Diabetes_ready!$A$77:$A$92</c:f>
              <c:strCache>
                <c:ptCount val="16"/>
                <c:pt idx="0">
                  <c:v>Guidelines</c:v>
                </c:pt>
                <c:pt idx="1">
                  <c:v>Staff trained</c:v>
                </c:pt>
                <c:pt idx="2">
                  <c:v>Blood pressure apparatus</c:v>
                </c:pt>
                <c:pt idx="3">
                  <c:v>Measuring tape</c:v>
                </c:pt>
                <c:pt idx="4">
                  <c:v>Adult weighing scale</c:v>
                </c:pt>
                <c:pt idx="5">
                  <c:v>Blood glucose tests</c:v>
                </c:pt>
                <c:pt idx="6">
                  <c:v>Urine dipstick for protrein</c:v>
                </c:pt>
                <c:pt idx="7">
                  <c:v>Urine dipstick for glucose</c:v>
                </c:pt>
                <c:pt idx="8">
                  <c:v>Urine dipstick for ketone bodies</c:v>
                </c:pt>
                <c:pt idx="9">
                  <c:v>Gliclazide</c:v>
                </c:pt>
                <c:pt idx="10">
                  <c:v>Insulin regular</c:v>
                </c:pt>
                <c:pt idx="11">
                  <c:v>Glibenclamide 5mg  cap/tab</c:v>
                </c:pt>
                <c:pt idx="12">
                  <c:v>Metformin</c:v>
                </c:pt>
                <c:pt idx="13">
                  <c:v>50% injectable glucose</c:v>
                </c:pt>
                <c:pt idx="14">
                  <c:v>Facilities with all tracer items</c:v>
                </c:pt>
                <c:pt idx="15">
                  <c:v>Mean availability of the tracer items</c:v>
                </c:pt>
              </c:strCache>
            </c:strRef>
          </c:cat>
          <c:val>
            <c:numRef>
              <c:f>Diabetes_ready!$E$77:$E$92</c:f>
              <c:numCache>
                <c:formatCode>General</c:formatCode>
                <c:ptCount val="16"/>
                <c:pt idx="9">
                  <c:v>20</c:v>
                </c:pt>
                <c:pt idx="10">
                  <c:v>36</c:v>
                </c:pt>
                <c:pt idx="11">
                  <c:v>50</c:v>
                </c:pt>
                <c:pt idx="12">
                  <c:v>63</c:v>
                </c:pt>
                <c:pt idx="13">
                  <c:v>88</c:v>
                </c:pt>
              </c:numCache>
            </c:numRef>
          </c:val>
          <c:extLst>
            <c:ext xmlns:c16="http://schemas.microsoft.com/office/drawing/2014/chart" uri="{C3380CC4-5D6E-409C-BE32-E72D297353CC}">
              <c16:uniqueId val="{00000003-BC69-443D-B8A3-4A21044B6D4B}"/>
            </c:ext>
          </c:extLst>
        </c:ser>
        <c:ser>
          <c:idx val="4"/>
          <c:order val="4"/>
          <c:tx>
            <c:strRef>
              <c:f>Diabetes_ready!$F$76</c:f>
              <c:strCache>
                <c:ptCount val="1"/>
                <c:pt idx="0">
                  <c:v>Readiness score</c:v>
                </c:pt>
              </c:strCache>
            </c:strRef>
          </c:tx>
          <c:spPr>
            <a:pattFill prst="wdUpDiag">
              <a:fgClr>
                <a:schemeClr val="accent6">
                  <a:lumMod val="50000"/>
                </a:schemeClr>
              </a:fgClr>
              <a:bgClr>
                <a:schemeClr val="bg1"/>
              </a:bgClr>
            </a:pattFill>
            <a:ln>
              <a:solidFill>
                <a:schemeClr val="accent6">
                  <a:lumMod val="5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Diabetes_ready!$A$77:$A$92</c:f>
              <c:strCache>
                <c:ptCount val="16"/>
                <c:pt idx="0">
                  <c:v>Guidelines</c:v>
                </c:pt>
                <c:pt idx="1">
                  <c:v>Staff trained</c:v>
                </c:pt>
                <c:pt idx="2">
                  <c:v>Blood pressure apparatus</c:v>
                </c:pt>
                <c:pt idx="3">
                  <c:v>Measuring tape</c:v>
                </c:pt>
                <c:pt idx="4">
                  <c:v>Adult weighing scale</c:v>
                </c:pt>
                <c:pt idx="5">
                  <c:v>Blood glucose tests</c:v>
                </c:pt>
                <c:pt idx="6">
                  <c:v>Urine dipstick for protrein</c:v>
                </c:pt>
                <c:pt idx="7">
                  <c:v>Urine dipstick for glucose</c:v>
                </c:pt>
                <c:pt idx="8">
                  <c:v>Urine dipstick for ketone bodies</c:v>
                </c:pt>
                <c:pt idx="9">
                  <c:v>Gliclazide</c:v>
                </c:pt>
                <c:pt idx="10">
                  <c:v>Insulin regular</c:v>
                </c:pt>
                <c:pt idx="11">
                  <c:v>Glibenclamide 5mg  cap/tab</c:v>
                </c:pt>
                <c:pt idx="12">
                  <c:v>Metformin</c:v>
                </c:pt>
                <c:pt idx="13">
                  <c:v>50% injectable glucose</c:v>
                </c:pt>
                <c:pt idx="14">
                  <c:v>Facilities with all tracer items</c:v>
                </c:pt>
                <c:pt idx="15">
                  <c:v>Mean availability of the tracer items</c:v>
                </c:pt>
              </c:strCache>
            </c:strRef>
          </c:cat>
          <c:val>
            <c:numRef>
              <c:f>Diabetes_ready!$F$77:$F$92</c:f>
              <c:numCache>
                <c:formatCode>General</c:formatCode>
                <c:ptCount val="16"/>
                <c:pt idx="14">
                  <c:v>6</c:v>
                </c:pt>
                <c:pt idx="15" formatCode="0">
                  <c:v>72</c:v>
                </c:pt>
              </c:numCache>
            </c:numRef>
          </c:val>
          <c:extLst>
            <c:ext xmlns:c16="http://schemas.microsoft.com/office/drawing/2014/chart" uri="{C3380CC4-5D6E-409C-BE32-E72D297353CC}">
              <c16:uniqueId val="{00000004-BC69-443D-B8A3-4A21044B6D4B}"/>
            </c:ext>
          </c:extLst>
        </c:ser>
        <c:dLbls>
          <c:showLegendKey val="0"/>
          <c:showVal val="0"/>
          <c:showCatName val="0"/>
          <c:showSerName val="0"/>
          <c:showPercent val="0"/>
          <c:showBubbleSize val="0"/>
        </c:dLbls>
        <c:gapWidth val="10"/>
        <c:overlap val="93"/>
        <c:axId val="552702240"/>
        <c:axId val="552701848"/>
      </c:barChart>
      <c:catAx>
        <c:axId val="552702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52701848"/>
        <c:crosses val="autoZero"/>
        <c:auto val="1"/>
        <c:lblAlgn val="ctr"/>
        <c:lblOffset val="100"/>
        <c:noMultiLvlLbl val="0"/>
      </c:catAx>
      <c:valAx>
        <c:axId val="552701848"/>
        <c:scaling>
          <c:orientation val="minMax"/>
          <c:max val="100"/>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52702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4"/>
          <c:order val="4"/>
          <c:tx>
            <c:strRef>
              <c:f>[Uganda_results_2019.xlsx]Diabetes_ready!$G$96</c:f>
              <c:strCache>
                <c:ptCount val="1"/>
                <c:pt idx="0">
                  <c:v>Readiness score</c:v>
                </c:pt>
              </c:strCache>
            </c:strRef>
          </c:tx>
          <c:spPr>
            <a:solidFill>
              <a:schemeClr val="accent4">
                <a:lumMod val="60000"/>
                <a:lumOff val="40000"/>
              </a:schemeClr>
            </a:solidFill>
            <a:ln w="19050">
              <a:solidFill>
                <a:schemeClr val="accent4">
                  <a:lumMod val="60000"/>
                  <a:lumOff val="40000"/>
                </a:schemeClr>
              </a:solidFill>
            </a:ln>
            <a:effectLst/>
          </c:spPr>
          <c:invertIfNegative val="0"/>
          <c:cat>
            <c:multiLvlStrRef>
              <c:f>[Uganda_results_2019.xlsx]Diabetes_ready!$A$97:$B$120</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 </c:v>
                  </c:pt>
                  <c:pt idx="6">
                    <c:v>Ownership</c:v>
                  </c:pt>
                  <c:pt idx="9">
                    <c:v>Location</c:v>
                  </c:pt>
                  <c:pt idx="12">
                    <c:v>Health Regional </c:v>
                  </c:pt>
                  <c:pt idx="23">
                    <c:v>National</c:v>
                  </c:pt>
                </c:lvl>
              </c:multiLvlStrCache>
            </c:multiLvlStrRef>
          </c:cat>
          <c:val>
            <c:numRef>
              <c:f>[Uganda_results_2019.xlsx]Diabetes_ready!$G$97:$G$120</c:f>
              <c:numCache>
                <c:formatCode>0</c:formatCode>
                <c:ptCount val="24"/>
                <c:pt idx="0">
                  <c:v>82.967029999999994</c:v>
                </c:pt>
                <c:pt idx="1">
                  <c:v>78.571430000000007</c:v>
                </c:pt>
                <c:pt idx="2">
                  <c:v>71.428569999999993</c:v>
                </c:pt>
                <c:pt idx="3">
                  <c:v>63.975149999999999</c:v>
                </c:pt>
                <c:pt idx="4">
                  <c:v>66.233770000000007</c:v>
                </c:pt>
                <c:pt idx="6">
                  <c:v>60.135069999999999</c:v>
                </c:pt>
                <c:pt idx="7">
                  <c:v>72.230590000000007</c:v>
                </c:pt>
                <c:pt idx="9">
                  <c:v>69.590419999999995</c:v>
                </c:pt>
                <c:pt idx="10">
                  <c:v>63.739510000000003</c:v>
                </c:pt>
                <c:pt idx="12">
                  <c:v>74.428571428571431</c:v>
                </c:pt>
                <c:pt idx="13">
                  <c:v>67</c:v>
                </c:pt>
                <c:pt idx="14">
                  <c:v>77.142857142857139</c:v>
                </c:pt>
                <c:pt idx="15">
                  <c:v>66.071428571428569</c:v>
                </c:pt>
                <c:pt idx="16">
                  <c:v>64.357142857142861</c:v>
                </c:pt>
                <c:pt idx="17">
                  <c:v>67.142857142857139</c:v>
                </c:pt>
                <c:pt idx="18">
                  <c:v>77.571428571428569</c:v>
                </c:pt>
                <c:pt idx="19">
                  <c:v>70.857142857142861</c:v>
                </c:pt>
                <c:pt idx="20">
                  <c:v>75.5</c:v>
                </c:pt>
                <c:pt idx="21">
                  <c:v>69.357142857142861</c:v>
                </c:pt>
                <c:pt idx="23">
                  <c:v>67.102400000000003</c:v>
                </c:pt>
              </c:numCache>
            </c:numRef>
          </c:val>
          <c:extLst>
            <c:ext xmlns:c16="http://schemas.microsoft.com/office/drawing/2014/chart" uri="{C3380CC4-5D6E-409C-BE32-E72D297353CC}">
              <c16:uniqueId val="{00000004-DF95-44F5-8CFC-09AF306545BE}"/>
            </c:ext>
          </c:extLst>
        </c:ser>
        <c:dLbls>
          <c:showLegendKey val="0"/>
          <c:showVal val="0"/>
          <c:showCatName val="0"/>
          <c:showSerName val="0"/>
          <c:showPercent val="0"/>
          <c:showBubbleSize val="0"/>
        </c:dLbls>
        <c:gapWidth val="27"/>
        <c:overlap val="17"/>
        <c:axId val="531116560"/>
        <c:axId val="531116168"/>
      </c:barChart>
      <c:scatterChart>
        <c:scatterStyle val="lineMarker"/>
        <c:varyColors val="0"/>
        <c:ser>
          <c:idx val="0"/>
          <c:order val="0"/>
          <c:tx>
            <c:strRef>
              <c:f>[Uganda_results_2019.xlsx]Diabetes_ready!$C$96</c:f>
              <c:strCache>
                <c:ptCount val="1"/>
                <c:pt idx="0">
                  <c:v>Staff and guides</c:v>
                </c:pt>
              </c:strCache>
            </c:strRef>
          </c:tx>
          <c:spPr>
            <a:ln w="19050" cap="rnd">
              <a:noFill/>
              <a:round/>
            </a:ln>
            <a:effectLst/>
          </c:spPr>
          <c:marker>
            <c:symbol val="diamond"/>
            <c:size val="7"/>
            <c:spPr>
              <a:solidFill>
                <a:srgbClr val="00B0F0"/>
              </a:solidFill>
              <a:ln w="9525">
                <a:solidFill>
                  <a:srgbClr val="00B0F0"/>
                </a:solidFill>
              </a:ln>
              <a:effectLst/>
            </c:spPr>
          </c:marker>
          <c:xVal>
            <c:multiLvlStrRef>
              <c:f>[Uganda_results_2019.xlsx]Diabetes_ready!$A$97:$B$120</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 </c:v>
                  </c:pt>
                  <c:pt idx="6">
                    <c:v>Ownership</c:v>
                  </c:pt>
                  <c:pt idx="9">
                    <c:v>Location</c:v>
                  </c:pt>
                  <c:pt idx="12">
                    <c:v>Health Regional </c:v>
                  </c:pt>
                  <c:pt idx="23">
                    <c:v>National</c:v>
                  </c:pt>
                </c:lvl>
              </c:multiLvlStrCache>
            </c:multiLvlStrRef>
          </c:xVal>
          <c:yVal>
            <c:numRef>
              <c:f>[Uganda_results_2019.xlsx]Diabetes_ready!$C$97:$C$120</c:f>
              <c:numCache>
                <c:formatCode>0</c:formatCode>
                <c:ptCount val="24"/>
                <c:pt idx="0">
                  <c:v>61.5</c:v>
                </c:pt>
                <c:pt idx="1">
                  <c:v>69</c:v>
                </c:pt>
                <c:pt idx="2">
                  <c:v>50</c:v>
                </c:pt>
                <c:pt idx="3">
                  <c:v>43</c:v>
                </c:pt>
                <c:pt idx="4">
                  <c:v>55</c:v>
                </c:pt>
                <c:pt idx="6">
                  <c:v>51.5</c:v>
                </c:pt>
                <c:pt idx="7">
                  <c:v>50.5</c:v>
                </c:pt>
                <c:pt idx="9">
                  <c:v>50</c:v>
                </c:pt>
                <c:pt idx="10">
                  <c:v>52</c:v>
                </c:pt>
                <c:pt idx="12">
                  <c:v>67.5</c:v>
                </c:pt>
                <c:pt idx="13">
                  <c:v>28.5</c:v>
                </c:pt>
                <c:pt idx="14">
                  <c:v>48</c:v>
                </c:pt>
                <c:pt idx="15">
                  <c:v>50</c:v>
                </c:pt>
                <c:pt idx="16">
                  <c:v>30</c:v>
                </c:pt>
                <c:pt idx="17">
                  <c:v>95</c:v>
                </c:pt>
                <c:pt idx="18">
                  <c:v>53</c:v>
                </c:pt>
                <c:pt idx="19">
                  <c:v>27</c:v>
                </c:pt>
                <c:pt idx="20">
                  <c:v>45.5</c:v>
                </c:pt>
                <c:pt idx="21">
                  <c:v>58.5</c:v>
                </c:pt>
                <c:pt idx="23">
                  <c:v>51</c:v>
                </c:pt>
              </c:numCache>
            </c:numRef>
          </c:yVal>
          <c:smooth val="0"/>
          <c:extLst>
            <c:ext xmlns:c16="http://schemas.microsoft.com/office/drawing/2014/chart" uri="{C3380CC4-5D6E-409C-BE32-E72D297353CC}">
              <c16:uniqueId val="{00000000-DF95-44F5-8CFC-09AF306545BE}"/>
            </c:ext>
          </c:extLst>
        </c:ser>
        <c:ser>
          <c:idx val="1"/>
          <c:order val="1"/>
          <c:tx>
            <c:strRef>
              <c:f>[Uganda_results_2019.xlsx]Diabetes_ready!$D$96</c:f>
              <c:strCache>
                <c:ptCount val="1"/>
                <c:pt idx="0">
                  <c:v>Equipment</c:v>
                </c:pt>
              </c:strCache>
            </c:strRef>
          </c:tx>
          <c:spPr>
            <a:ln w="19050" cap="rnd">
              <a:noFill/>
              <a:round/>
            </a:ln>
            <a:effectLst/>
          </c:spPr>
          <c:marker>
            <c:symbol val="star"/>
            <c:size val="7"/>
            <c:spPr>
              <a:noFill/>
              <a:ln w="9525">
                <a:solidFill>
                  <a:schemeClr val="accent2"/>
                </a:solidFill>
              </a:ln>
              <a:effectLst/>
            </c:spPr>
          </c:marker>
          <c:xVal>
            <c:multiLvlStrRef>
              <c:f>[Uganda_results_2019.xlsx]Diabetes_ready!$A$97:$B$120</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 </c:v>
                  </c:pt>
                  <c:pt idx="6">
                    <c:v>Ownership</c:v>
                  </c:pt>
                  <c:pt idx="9">
                    <c:v>Location</c:v>
                  </c:pt>
                  <c:pt idx="12">
                    <c:v>Health Regional </c:v>
                  </c:pt>
                  <c:pt idx="23">
                    <c:v>National</c:v>
                  </c:pt>
                </c:lvl>
              </c:multiLvlStrCache>
            </c:multiLvlStrRef>
          </c:xVal>
          <c:yVal>
            <c:numRef>
              <c:f>[Uganda_results_2019.xlsx]Diabetes_ready!$D$97:$D$120</c:f>
              <c:numCache>
                <c:formatCode>0</c:formatCode>
                <c:ptCount val="24"/>
                <c:pt idx="0">
                  <c:v>92.333333333333329</c:v>
                </c:pt>
                <c:pt idx="1">
                  <c:v>90.666666666666671</c:v>
                </c:pt>
                <c:pt idx="2">
                  <c:v>86.333333333333329</c:v>
                </c:pt>
                <c:pt idx="3">
                  <c:v>87</c:v>
                </c:pt>
                <c:pt idx="4">
                  <c:v>85</c:v>
                </c:pt>
                <c:pt idx="6">
                  <c:v>78.333333333333329</c:v>
                </c:pt>
                <c:pt idx="7">
                  <c:v>92.333333333333329</c:v>
                </c:pt>
                <c:pt idx="9">
                  <c:v>89</c:v>
                </c:pt>
                <c:pt idx="10">
                  <c:v>82.333333333333329</c:v>
                </c:pt>
                <c:pt idx="12">
                  <c:v>90</c:v>
                </c:pt>
                <c:pt idx="13">
                  <c:v>85.333333333333329</c:v>
                </c:pt>
                <c:pt idx="14">
                  <c:v>89.333333333333329</c:v>
                </c:pt>
                <c:pt idx="15">
                  <c:v>100</c:v>
                </c:pt>
                <c:pt idx="16">
                  <c:v>80</c:v>
                </c:pt>
                <c:pt idx="17">
                  <c:v>73</c:v>
                </c:pt>
                <c:pt idx="18">
                  <c:v>98.333333333333329</c:v>
                </c:pt>
                <c:pt idx="19">
                  <c:v>82</c:v>
                </c:pt>
                <c:pt idx="20">
                  <c:v>87.333333333333329</c:v>
                </c:pt>
                <c:pt idx="21">
                  <c:v>73.333333333333329</c:v>
                </c:pt>
                <c:pt idx="23">
                  <c:v>86.333333333333329</c:v>
                </c:pt>
              </c:numCache>
            </c:numRef>
          </c:yVal>
          <c:smooth val="0"/>
          <c:extLst>
            <c:ext xmlns:c16="http://schemas.microsoft.com/office/drawing/2014/chart" uri="{C3380CC4-5D6E-409C-BE32-E72D297353CC}">
              <c16:uniqueId val="{00000001-DF95-44F5-8CFC-09AF306545BE}"/>
            </c:ext>
          </c:extLst>
        </c:ser>
        <c:ser>
          <c:idx val="2"/>
          <c:order val="2"/>
          <c:tx>
            <c:strRef>
              <c:f>[Uganda_results_2019.xlsx]Diabetes_ready!$E$96</c:f>
              <c:strCache>
                <c:ptCount val="1"/>
                <c:pt idx="0">
                  <c:v>Diagnostics</c:v>
                </c:pt>
              </c:strCache>
            </c:strRef>
          </c:tx>
          <c:spPr>
            <a:ln w="19050" cap="rnd">
              <a:noFill/>
              <a:round/>
            </a:ln>
            <a:effectLst/>
          </c:spPr>
          <c:marker>
            <c:symbol val="triangle"/>
            <c:size val="7"/>
            <c:spPr>
              <a:solidFill>
                <a:srgbClr val="0033CC"/>
              </a:solidFill>
              <a:ln w="9525">
                <a:solidFill>
                  <a:srgbClr val="0033CC"/>
                </a:solidFill>
              </a:ln>
              <a:effectLst/>
            </c:spPr>
          </c:marker>
          <c:xVal>
            <c:multiLvlStrRef>
              <c:f>[Uganda_results_2019.xlsx]Diabetes_ready!$A$97:$B$120</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 </c:v>
                  </c:pt>
                  <c:pt idx="6">
                    <c:v>Ownership</c:v>
                  </c:pt>
                  <c:pt idx="9">
                    <c:v>Location</c:v>
                  </c:pt>
                  <c:pt idx="12">
                    <c:v>Health Regional </c:v>
                  </c:pt>
                  <c:pt idx="23">
                    <c:v>National</c:v>
                  </c:pt>
                </c:lvl>
              </c:multiLvlStrCache>
            </c:multiLvlStrRef>
          </c:xVal>
          <c:yVal>
            <c:numRef>
              <c:f>[Uganda_results_2019.xlsx]Diabetes_ready!$E$97:$E$120</c:f>
              <c:numCache>
                <c:formatCode>0</c:formatCode>
                <c:ptCount val="24"/>
                <c:pt idx="0">
                  <c:v>98</c:v>
                </c:pt>
                <c:pt idx="1">
                  <c:v>98</c:v>
                </c:pt>
                <c:pt idx="2">
                  <c:v>95.5</c:v>
                </c:pt>
                <c:pt idx="3">
                  <c:v>95.5</c:v>
                </c:pt>
                <c:pt idx="4">
                  <c:v>100</c:v>
                </c:pt>
                <c:pt idx="6">
                  <c:v>94.5</c:v>
                </c:pt>
                <c:pt idx="7">
                  <c:v>99.75</c:v>
                </c:pt>
                <c:pt idx="9">
                  <c:v>98.75</c:v>
                </c:pt>
                <c:pt idx="10">
                  <c:v>95.75</c:v>
                </c:pt>
                <c:pt idx="12">
                  <c:v>100</c:v>
                </c:pt>
                <c:pt idx="13">
                  <c:v>100</c:v>
                </c:pt>
                <c:pt idx="14">
                  <c:v>100</c:v>
                </c:pt>
                <c:pt idx="15">
                  <c:v>100</c:v>
                </c:pt>
                <c:pt idx="16">
                  <c:v>100</c:v>
                </c:pt>
                <c:pt idx="17">
                  <c:v>100</c:v>
                </c:pt>
                <c:pt idx="18">
                  <c:v>100</c:v>
                </c:pt>
                <c:pt idx="19">
                  <c:v>100</c:v>
                </c:pt>
                <c:pt idx="20">
                  <c:v>100</c:v>
                </c:pt>
                <c:pt idx="21">
                  <c:v>100</c:v>
                </c:pt>
                <c:pt idx="23">
                  <c:v>100</c:v>
                </c:pt>
              </c:numCache>
            </c:numRef>
          </c:yVal>
          <c:smooth val="0"/>
          <c:extLst>
            <c:ext xmlns:c16="http://schemas.microsoft.com/office/drawing/2014/chart" uri="{C3380CC4-5D6E-409C-BE32-E72D297353CC}">
              <c16:uniqueId val="{00000002-DF95-44F5-8CFC-09AF306545BE}"/>
            </c:ext>
          </c:extLst>
        </c:ser>
        <c:ser>
          <c:idx val="3"/>
          <c:order val="3"/>
          <c:tx>
            <c:strRef>
              <c:f>[Uganda_results_2019.xlsx]Diabetes_ready!$F$96</c:f>
              <c:strCache>
                <c:ptCount val="1"/>
                <c:pt idx="0">
                  <c:v>Meds &amp; commodities</c:v>
                </c:pt>
              </c:strCache>
            </c:strRef>
          </c:tx>
          <c:spPr>
            <a:ln w="19050" cap="rnd">
              <a:noFill/>
              <a:round/>
            </a:ln>
            <a:effectLst/>
          </c:spPr>
          <c:marker>
            <c:symbol val="plus"/>
            <c:size val="7"/>
            <c:spPr>
              <a:noFill/>
              <a:ln w="9525">
                <a:solidFill>
                  <a:srgbClr val="C00000"/>
                </a:solidFill>
              </a:ln>
              <a:effectLst/>
            </c:spPr>
          </c:marker>
          <c:xVal>
            <c:multiLvlStrRef>
              <c:f>[Uganda_results_2019.xlsx]Diabetes_ready!$A$97:$B$120</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 </c:v>
                  </c:pt>
                  <c:pt idx="6">
                    <c:v>Ownership</c:v>
                  </c:pt>
                  <c:pt idx="9">
                    <c:v>Location</c:v>
                  </c:pt>
                  <c:pt idx="12">
                    <c:v>Health Regional </c:v>
                  </c:pt>
                  <c:pt idx="23">
                    <c:v>National</c:v>
                  </c:pt>
                </c:lvl>
              </c:multiLvlStrCache>
            </c:multiLvlStrRef>
          </c:xVal>
          <c:yVal>
            <c:numRef>
              <c:f>[Uganda_results_2019.xlsx]Diabetes_ready!$F$97:$F$120</c:f>
              <c:numCache>
                <c:formatCode>0</c:formatCode>
                <c:ptCount val="24"/>
                <c:pt idx="0">
                  <c:v>75.400000000000006</c:v>
                </c:pt>
                <c:pt idx="1">
                  <c:v>70</c:v>
                </c:pt>
                <c:pt idx="2">
                  <c:v>57.4</c:v>
                </c:pt>
                <c:pt idx="3">
                  <c:v>47</c:v>
                </c:pt>
                <c:pt idx="4">
                  <c:v>50</c:v>
                </c:pt>
                <c:pt idx="6">
                  <c:v>37.6</c:v>
                </c:pt>
                <c:pt idx="7">
                  <c:v>62</c:v>
                </c:pt>
                <c:pt idx="9">
                  <c:v>57.2</c:v>
                </c:pt>
                <c:pt idx="10">
                  <c:v>43.4</c:v>
                </c:pt>
                <c:pt idx="12">
                  <c:v>47.4</c:v>
                </c:pt>
                <c:pt idx="13">
                  <c:v>45</c:v>
                </c:pt>
                <c:pt idx="14">
                  <c:v>63.2</c:v>
                </c:pt>
                <c:pt idx="15">
                  <c:v>25</c:v>
                </c:pt>
                <c:pt idx="16">
                  <c:v>40.200000000000003</c:v>
                </c:pt>
                <c:pt idx="17">
                  <c:v>26.2</c:v>
                </c:pt>
                <c:pt idx="18">
                  <c:v>57</c:v>
                </c:pt>
                <c:pt idx="19">
                  <c:v>58.4</c:v>
                </c:pt>
                <c:pt idx="20">
                  <c:v>60.8</c:v>
                </c:pt>
                <c:pt idx="21">
                  <c:v>46.8</c:v>
                </c:pt>
                <c:pt idx="23">
                  <c:v>51.6</c:v>
                </c:pt>
              </c:numCache>
            </c:numRef>
          </c:yVal>
          <c:smooth val="0"/>
          <c:extLst>
            <c:ext xmlns:c16="http://schemas.microsoft.com/office/drawing/2014/chart" uri="{C3380CC4-5D6E-409C-BE32-E72D297353CC}">
              <c16:uniqueId val="{00000003-DF95-44F5-8CFC-09AF306545BE}"/>
            </c:ext>
          </c:extLst>
        </c:ser>
        <c:dLbls>
          <c:showLegendKey val="0"/>
          <c:showVal val="0"/>
          <c:showCatName val="0"/>
          <c:showSerName val="0"/>
          <c:showPercent val="0"/>
          <c:showBubbleSize val="0"/>
        </c:dLbls>
        <c:axId val="531116560"/>
        <c:axId val="531116168"/>
      </c:scatterChart>
      <c:catAx>
        <c:axId val="531116560"/>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31116168"/>
        <c:crosses val="autoZero"/>
        <c:auto val="1"/>
        <c:lblAlgn val="ctr"/>
        <c:lblOffset val="100"/>
        <c:noMultiLvlLbl val="0"/>
      </c:catAx>
      <c:valAx>
        <c:axId val="531116168"/>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31116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CRD_Ready!$B$81</c:f>
              <c:strCache>
                <c:ptCount val="1"/>
                <c:pt idx="0">
                  <c:v>Staff and guides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CRD_Ready!$A$82:$A$97</c:f>
              <c:strCache>
                <c:ptCount val="16"/>
                <c:pt idx="0">
                  <c:v>Guidelines</c:v>
                </c:pt>
                <c:pt idx="1">
                  <c:v>Trained staff</c:v>
                </c:pt>
                <c:pt idx="3">
                  <c:v>Peak flow meters</c:v>
                </c:pt>
                <c:pt idx="4">
                  <c:v>Spacers for inhalers</c:v>
                </c:pt>
                <c:pt idx="5">
                  <c:v>Oxygen delivery apparatus </c:v>
                </c:pt>
                <c:pt idx="6">
                  <c:v>Stethoscope</c:v>
                </c:pt>
                <c:pt idx="8">
                  <c:v>Hydrocortisone</c:v>
                </c:pt>
                <c:pt idx="9">
                  <c:v>Predinsolone</c:v>
                </c:pt>
                <c:pt idx="10">
                  <c:v>Epinephrine</c:v>
                </c:pt>
                <c:pt idx="11">
                  <c:v>Salbutamol inhaler</c:v>
                </c:pt>
                <c:pt idx="12">
                  <c:v>Beclomethasone inhaler</c:v>
                </c:pt>
                <c:pt idx="14">
                  <c:v>Facilities with all tracer items</c:v>
                </c:pt>
                <c:pt idx="15">
                  <c:v>Mean of the tracer items</c:v>
                </c:pt>
              </c:strCache>
            </c:strRef>
          </c:cat>
          <c:val>
            <c:numRef>
              <c:f>CRD_Ready!$B$82:$B$97</c:f>
              <c:numCache>
                <c:formatCode>General</c:formatCode>
                <c:ptCount val="16"/>
                <c:pt idx="0">
                  <c:v>65</c:v>
                </c:pt>
                <c:pt idx="1">
                  <c:v>31</c:v>
                </c:pt>
              </c:numCache>
            </c:numRef>
          </c:val>
          <c:extLst>
            <c:ext xmlns:c16="http://schemas.microsoft.com/office/drawing/2014/chart" uri="{C3380CC4-5D6E-409C-BE32-E72D297353CC}">
              <c16:uniqueId val="{00000000-8E21-4441-BD1E-EAC5521A0F6B}"/>
            </c:ext>
          </c:extLst>
        </c:ser>
        <c:ser>
          <c:idx val="1"/>
          <c:order val="1"/>
          <c:tx>
            <c:strRef>
              <c:f>CRD_Ready!$C$81</c:f>
              <c:strCache>
                <c:ptCount val="1"/>
                <c:pt idx="0">
                  <c:v>Equipment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CRD_Ready!$A$82:$A$97</c:f>
              <c:strCache>
                <c:ptCount val="16"/>
                <c:pt idx="0">
                  <c:v>Guidelines</c:v>
                </c:pt>
                <c:pt idx="1">
                  <c:v>Trained staff</c:v>
                </c:pt>
                <c:pt idx="3">
                  <c:v>Peak flow meters</c:v>
                </c:pt>
                <c:pt idx="4">
                  <c:v>Spacers for inhalers</c:v>
                </c:pt>
                <c:pt idx="5">
                  <c:v>Oxygen delivery apparatus </c:v>
                </c:pt>
                <c:pt idx="6">
                  <c:v>Stethoscope</c:v>
                </c:pt>
                <c:pt idx="8">
                  <c:v>Hydrocortisone</c:v>
                </c:pt>
                <c:pt idx="9">
                  <c:v>Predinsolone</c:v>
                </c:pt>
                <c:pt idx="10">
                  <c:v>Epinephrine</c:v>
                </c:pt>
                <c:pt idx="11">
                  <c:v>Salbutamol inhaler</c:v>
                </c:pt>
                <c:pt idx="12">
                  <c:v>Beclomethasone inhaler</c:v>
                </c:pt>
                <c:pt idx="14">
                  <c:v>Facilities with all tracer items</c:v>
                </c:pt>
                <c:pt idx="15">
                  <c:v>Mean of the tracer items</c:v>
                </c:pt>
              </c:strCache>
            </c:strRef>
          </c:cat>
          <c:val>
            <c:numRef>
              <c:f>CRD_Ready!$C$82:$C$97</c:f>
              <c:numCache>
                <c:formatCode>General</c:formatCode>
                <c:ptCount val="16"/>
                <c:pt idx="3">
                  <c:v>18</c:v>
                </c:pt>
                <c:pt idx="4">
                  <c:v>21</c:v>
                </c:pt>
                <c:pt idx="5">
                  <c:v>27</c:v>
                </c:pt>
                <c:pt idx="6">
                  <c:v>94</c:v>
                </c:pt>
              </c:numCache>
            </c:numRef>
          </c:val>
          <c:extLst>
            <c:ext xmlns:c16="http://schemas.microsoft.com/office/drawing/2014/chart" uri="{C3380CC4-5D6E-409C-BE32-E72D297353CC}">
              <c16:uniqueId val="{00000001-8E21-4441-BD1E-EAC5521A0F6B}"/>
            </c:ext>
          </c:extLst>
        </c:ser>
        <c:ser>
          <c:idx val="2"/>
          <c:order val="2"/>
          <c:tx>
            <c:strRef>
              <c:f>CRD_Ready!$D$81</c:f>
              <c:strCache>
                <c:ptCount val="1"/>
                <c:pt idx="0">
                  <c:v>Medicines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CRD_Ready!$A$82:$A$97</c:f>
              <c:strCache>
                <c:ptCount val="16"/>
                <c:pt idx="0">
                  <c:v>Guidelines</c:v>
                </c:pt>
                <c:pt idx="1">
                  <c:v>Trained staff</c:v>
                </c:pt>
                <c:pt idx="3">
                  <c:v>Peak flow meters</c:v>
                </c:pt>
                <c:pt idx="4">
                  <c:v>Spacers for inhalers</c:v>
                </c:pt>
                <c:pt idx="5">
                  <c:v>Oxygen delivery apparatus </c:v>
                </c:pt>
                <c:pt idx="6">
                  <c:v>Stethoscope</c:v>
                </c:pt>
                <c:pt idx="8">
                  <c:v>Hydrocortisone</c:v>
                </c:pt>
                <c:pt idx="9">
                  <c:v>Predinsolone</c:v>
                </c:pt>
                <c:pt idx="10">
                  <c:v>Epinephrine</c:v>
                </c:pt>
                <c:pt idx="11">
                  <c:v>Salbutamol inhaler</c:v>
                </c:pt>
                <c:pt idx="12">
                  <c:v>Beclomethasone inhaler</c:v>
                </c:pt>
                <c:pt idx="14">
                  <c:v>Facilities with all tracer items</c:v>
                </c:pt>
                <c:pt idx="15">
                  <c:v>Mean of the tracer items</c:v>
                </c:pt>
              </c:strCache>
            </c:strRef>
          </c:cat>
          <c:val>
            <c:numRef>
              <c:f>CRD_Ready!$D$82:$D$97</c:f>
              <c:numCache>
                <c:formatCode>General</c:formatCode>
                <c:ptCount val="16"/>
                <c:pt idx="8">
                  <c:v>77</c:v>
                </c:pt>
                <c:pt idx="9">
                  <c:v>66</c:v>
                </c:pt>
                <c:pt idx="10">
                  <c:v>41</c:v>
                </c:pt>
                <c:pt idx="11">
                  <c:v>28</c:v>
                </c:pt>
                <c:pt idx="12">
                  <c:v>17</c:v>
                </c:pt>
              </c:numCache>
            </c:numRef>
          </c:val>
          <c:extLst>
            <c:ext xmlns:c16="http://schemas.microsoft.com/office/drawing/2014/chart" uri="{C3380CC4-5D6E-409C-BE32-E72D297353CC}">
              <c16:uniqueId val="{00000002-8E21-4441-BD1E-EAC5521A0F6B}"/>
            </c:ext>
          </c:extLst>
        </c:ser>
        <c:ser>
          <c:idx val="3"/>
          <c:order val="3"/>
          <c:tx>
            <c:strRef>
              <c:f>CRD_Ready!$E$81</c:f>
              <c:strCache>
                <c:ptCount val="1"/>
                <c:pt idx="0">
                  <c:v>Readiness score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CRD_Ready!$A$82:$A$97</c:f>
              <c:strCache>
                <c:ptCount val="16"/>
                <c:pt idx="0">
                  <c:v>Guidelines</c:v>
                </c:pt>
                <c:pt idx="1">
                  <c:v>Trained staff</c:v>
                </c:pt>
                <c:pt idx="3">
                  <c:v>Peak flow meters</c:v>
                </c:pt>
                <c:pt idx="4">
                  <c:v>Spacers for inhalers</c:v>
                </c:pt>
                <c:pt idx="5">
                  <c:v>Oxygen delivery apparatus </c:v>
                </c:pt>
                <c:pt idx="6">
                  <c:v>Stethoscope</c:v>
                </c:pt>
                <c:pt idx="8">
                  <c:v>Hydrocortisone</c:v>
                </c:pt>
                <c:pt idx="9">
                  <c:v>Predinsolone</c:v>
                </c:pt>
                <c:pt idx="10">
                  <c:v>Epinephrine</c:v>
                </c:pt>
                <c:pt idx="11">
                  <c:v>Salbutamol inhaler</c:v>
                </c:pt>
                <c:pt idx="12">
                  <c:v>Beclomethasone inhaler</c:v>
                </c:pt>
                <c:pt idx="14">
                  <c:v>Facilities with all tracer items</c:v>
                </c:pt>
                <c:pt idx="15">
                  <c:v>Mean of the tracer items</c:v>
                </c:pt>
              </c:strCache>
            </c:strRef>
          </c:cat>
          <c:val>
            <c:numRef>
              <c:f>CRD_Ready!$E$82:$E$97</c:f>
              <c:numCache>
                <c:formatCode>General</c:formatCode>
                <c:ptCount val="16"/>
                <c:pt idx="14">
                  <c:v>1</c:v>
                </c:pt>
                <c:pt idx="15" formatCode="0">
                  <c:v>44</c:v>
                </c:pt>
              </c:numCache>
            </c:numRef>
          </c:val>
          <c:extLst>
            <c:ext xmlns:c16="http://schemas.microsoft.com/office/drawing/2014/chart" uri="{C3380CC4-5D6E-409C-BE32-E72D297353CC}">
              <c16:uniqueId val="{00000003-8E21-4441-BD1E-EAC5521A0F6B}"/>
            </c:ext>
          </c:extLst>
        </c:ser>
        <c:dLbls>
          <c:dLblPos val="outEnd"/>
          <c:showLegendKey val="0"/>
          <c:showVal val="1"/>
          <c:showCatName val="0"/>
          <c:showSerName val="0"/>
          <c:showPercent val="0"/>
          <c:showBubbleSize val="0"/>
        </c:dLbls>
        <c:gapWidth val="25"/>
        <c:overlap val="100"/>
        <c:axId val="552706552"/>
        <c:axId val="552706160"/>
      </c:barChart>
      <c:catAx>
        <c:axId val="5527065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52706160"/>
        <c:crosses val="autoZero"/>
        <c:auto val="1"/>
        <c:lblAlgn val="ctr"/>
        <c:lblOffset val="100"/>
        <c:noMultiLvlLbl val="0"/>
      </c:catAx>
      <c:valAx>
        <c:axId val="552706160"/>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706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3"/>
          <c:order val="3"/>
          <c:tx>
            <c:strRef>
              <c:f>CRD_Ready!$F$101:$F$102</c:f>
              <c:strCache>
                <c:ptCount val="2"/>
                <c:pt idx="0">
                  <c:v>Mean availability of the tracer items</c:v>
                </c:pt>
              </c:strCache>
            </c:strRef>
          </c:tx>
          <c:spPr>
            <a:solidFill>
              <a:schemeClr val="accent6"/>
            </a:solidFill>
            <a:ln w="19050">
              <a:solidFill>
                <a:schemeClr val="accent6"/>
              </a:solidFill>
            </a:ln>
            <a:effectLst/>
          </c:spPr>
          <c:invertIfNegative val="0"/>
          <c:cat>
            <c:multiLvlStrRef>
              <c:f>CRD_Ready!$A$103:$B$126</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cat>
          <c:val>
            <c:numRef>
              <c:f>CRD_Ready!$F$103:$F$126</c:f>
              <c:numCache>
                <c:formatCode>0</c:formatCode>
                <c:ptCount val="24"/>
                <c:pt idx="0">
                  <c:v>55.194800000000001</c:v>
                </c:pt>
                <c:pt idx="1">
                  <c:v>62.545450000000002</c:v>
                </c:pt>
                <c:pt idx="2">
                  <c:v>45.454549999999998</c:v>
                </c:pt>
                <c:pt idx="3">
                  <c:v>37.93103</c:v>
                </c:pt>
                <c:pt idx="4">
                  <c:v>42.424239999999998</c:v>
                </c:pt>
                <c:pt idx="6">
                  <c:v>37.647689999999997</c:v>
                </c:pt>
                <c:pt idx="7">
                  <c:v>46.299979999999998</c:v>
                </c:pt>
                <c:pt idx="9">
                  <c:v>45.006700000000002</c:v>
                </c:pt>
                <c:pt idx="10">
                  <c:v>39.152889999999999</c:v>
                </c:pt>
                <c:pt idx="12">
                  <c:v>89.727272727272734</c:v>
                </c:pt>
                <c:pt idx="13">
                  <c:v>38.272727272727273</c:v>
                </c:pt>
                <c:pt idx="14">
                  <c:v>45.545454545454547</c:v>
                </c:pt>
                <c:pt idx="15">
                  <c:v>72.727272727272734</c:v>
                </c:pt>
                <c:pt idx="16">
                  <c:v>40</c:v>
                </c:pt>
                <c:pt idx="17">
                  <c:v>32.272727272727273</c:v>
                </c:pt>
                <c:pt idx="18">
                  <c:v>47.18181818181818</c:v>
                </c:pt>
                <c:pt idx="19">
                  <c:v>42</c:v>
                </c:pt>
                <c:pt idx="20">
                  <c:v>50.81818181818182</c:v>
                </c:pt>
                <c:pt idx="21">
                  <c:v>36.090909090909093</c:v>
                </c:pt>
                <c:pt idx="23">
                  <c:v>42.21875</c:v>
                </c:pt>
              </c:numCache>
            </c:numRef>
          </c:val>
          <c:extLst>
            <c:ext xmlns:c16="http://schemas.microsoft.com/office/drawing/2014/chart" uri="{C3380CC4-5D6E-409C-BE32-E72D297353CC}">
              <c16:uniqueId val="{00000003-3C55-41FE-9A18-EEE329C7931E}"/>
            </c:ext>
          </c:extLst>
        </c:ser>
        <c:dLbls>
          <c:showLegendKey val="0"/>
          <c:showVal val="0"/>
          <c:showCatName val="0"/>
          <c:showSerName val="0"/>
          <c:showPercent val="0"/>
          <c:showBubbleSize val="0"/>
        </c:dLbls>
        <c:gapWidth val="25"/>
        <c:axId val="553036208"/>
        <c:axId val="553036600"/>
      </c:barChart>
      <c:scatterChart>
        <c:scatterStyle val="lineMarker"/>
        <c:varyColors val="0"/>
        <c:ser>
          <c:idx val="0"/>
          <c:order val="0"/>
          <c:tx>
            <c:strRef>
              <c:f>CRD_Ready!$C$101:$C$102</c:f>
              <c:strCache>
                <c:ptCount val="2"/>
                <c:pt idx="0">
                  <c:v>Staff and guidelines</c:v>
                </c:pt>
              </c:strCache>
            </c:strRef>
          </c:tx>
          <c:spPr>
            <a:ln w="19050" cap="rnd">
              <a:noFill/>
              <a:round/>
            </a:ln>
            <a:effectLst/>
          </c:spPr>
          <c:marker>
            <c:symbol val="square"/>
            <c:size val="7"/>
            <c:spPr>
              <a:solidFill>
                <a:schemeClr val="accent6">
                  <a:lumMod val="50000"/>
                </a:schemeClr>
              </a:solidFill>
              <a:ln w="9525">
                <a:solidFill>
                  <a:schemeClr val="accent6">
                    <a:lumMod val="50000"/>
                  </a:schemeClr>
                </a:solidFill>
              </a:ln>
              <a:effectLst/>
            </c:spPr>
          </c:marker>
          <c:xVal>
            <c:multiLvlStrRef>
              <c:f>[Uganda_results_2019.xlsx]CRD_Ready!$A$103:$B$126</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xVal>
          <c:yVal>
            <c:numRef>
              <c:f>CRD_Ready!$C$103:$C$126</c:f>
              <c:numCache>
                <c:formatCode>0</c:formatCode>
                <c:ptCount val="24"/>
                <c:pt idx="0">
                  <c:v>53.5</c:v>
                </c:pt>
                <c:pt idx="1">
                  <c:v>60</c:v>
                </c:pt>
                <c:pt idx="2">
                  <c:v>59</c:v>
                </c:pt>
                <c:pt idx="3">
                  <c:v>48</c:v>
                </c:pt>
                <c:pt idx="4">
                  <c:v>41.5</c:v>
                </c:pt>
                <c:pt idx="6">
                  <c:v>50.5</c:v>
                </c:pt>
                <c:pt idx="7">
                  <c:v>43.5</c:v>
                </c:pt>
                <c:pt idx="9">
                  <c:v>46.5</c:v>
                </c:pt>
                <c:pt idx="10">
                  <c:v>49</c:v>
                </c:pt>
                <c:pt idx="12">
                  <c:v>75</c:v>
                </c:pt>
                <c:pt idx="13">
                  <c:v>46.5</c:v>
                </c:pt>
                <c:pt idx="14">
                  <c:v>41</c:v>
                </c:pt>
                <c:pt idx="15">
                  <c:v>50</c:v>
                </c:pt>
                <c:pt idx="16">
                  <c:v>49.5</c:v>
                </c:pt>
                <c:pt idx="17">
                  <c:v>30.5</c:v>
                </c:pt>
                <c:pt idx="18">
                  <c:v>40</c:v>
                </c:pt>
                <c:pt idx="19">
                  <c:v>52</c:v>
                </c:pt>
                <c:pt idx="20">
                  <c:v>64</c:v>
                </c:pt>
                <c:pt idx="21">
                  <c:v>40.5</c:v>
                </c:pt>
                <c:pt idx="23">
                  <c:v>48</c:v>
                </c:pt>
              </c:numCache>
            </c:numRef>
          </c:yVal>
          <c:smooth val="0"/>
          <c:extLst>
            <c:ext xmlns:c16="http://schemas.microsoft.com/office/drawing/2014/chart" uri="{C3380CC4-5D6E-409C-BE32-E72D297353CC}">
              <c16:uniqueId val="{00000000-3C55-41FE-9A18-EEE329C7931E}"/>
            </c:ext>
          </c:extLst>
        </c:ser>
        <c:ser>
          <c:idx val="1"/>
          <c:order val="1"/>
          <c:tx>
            <c:strRef>
              <c:f>CRD_Ready!$D$101:$D$102</c:f>
              <c:strCache>
                <c:ptCount val="2"/>
                <c:pt idx="0">
                  <c:v>Equipment</c:v>
                </c:pt>
              </c:strCache>
            </c:strRef>
          </c:tx>
          <c:spPr>
            <a:ln w="19050" cap="rnd">
              <a:noFill/>
              <a:round/>
            </a:ln>
            <a:effectLst/>
          </c:spPr>
          <c:marker>
            <c:symbol val="circle"/>
            <c:size val="7"/>
            <c:spPr>
              <a:noFill/>
              <a:ln w="9525">
                <a:solidFill>
                  <a:srgbClr val="FF0000"/>
                </a:solidFill>
              </a:ln>
              <a:effectLst/>
            </c:spPr>
          </c:marker>
          <c:xVal>
            <c:multiLvlStrRef>
              <c:f>[Uganda_results_2019.xlsx]CRD_Ready!$A$103:$B$126</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xVal>
          <c:yVal>
            <c:numRef>
              <c:f>CRD_Ready!$D$103:$D$126</c:f>
              <c:numCache>
                <c:formatCode>0</c:formatCode>
                <c:ptCount val="24"/>
                <c:pt idx="0">
                  <c:v>57.25</c:v>
                </c:pt>
                <c:pt idx="1">
                  <c:v>61</c:v>
                </c:pt>
                <c:pt idx="2">
                  <c:v>34.75</c:v>
                </c:pt>
                <c:pt idx="3">
                  <c:v>36.25</c:v>
                </c:pt>
                <c:pt idx="4">
                  <c:v>41.75</c:v>
                </c:pt>
                <c:pt idx="6">
                  <c:v>37.75</c:v>
                </c:pt>
                <c:pt idx="7">
                  <c:v>42</c:v>
                </c:pt>
                <c:pt idx="9">
                  <c:v>39.5</c:v>
                </c:pt>
                <c:pt idx="10">
                  <c:v>39.75</c:v>
                </c:pt>
                <c:pt idx="12">
                  <c:v>84.25</c:v>
                </c:pt>
                <c:pt idx="13">
                  <c:v>27.25</c:v>
                </c:pt>
                <c:pt idx="14">
                  <c:v>37.25</c:v>
                </c:pt>
                <c:pt idx="15">
                  <c:v>75</c:v>
                </c:pt>
                <c:pt idx="16">
                  <c:v>26.75</c:v>
                </c:pt>
                <c:pt idx="17">
                  <c:v>40.75</c:v>
                </c:pt>
                <c:pt idx="18">
                  <c:v>37.25</c:v>
                </c:pt>
                <c:pt idx="19">
                  <c:v>62.5</c:v>
                </c:pt>
                <c:pt idx="20">
                  <c:v>54.75</c:v>
                </c:pt>
                <c:pt idx="21">
                  <c:v>24.25</c:v>
                </c:pt>
                <c:pt idx="23">
                  <c:v>39.75</c:v>
                </c:pt>
              </c:numCache>
            </c:numRef>
          </c:yVal>
          <c:smooth val="0"/>
          <c:extLst>
            <c:ext xmlns:c16="http://schemas.microsoft.com/office/drawing/2014/chart" uri="{C3380CC4-5D6E-409C-BE32-E72D297353CC}">
              <c16:uniqueId val="{00000001-3C55-41FE-9A18-EEE329C7931E}"/>
            </c:ext>
          </c:extLst>
        </c:ser>
        <c:ser>
          <c:idx val="2"/>
          <c:order val="2"/>
          <c:tx>
            <c:strRef>
              <c:f>CRD_Ready!$E$101:$E$102</c:f>
              <c:strCache>
                <c:ptCount val="2"/>
                <c:pt idx="0">
                  <c:v>Medicines</c:v>
                </c:pt>
              </c:strCache>
            </c:strRef>
          </c:tx>
          <c:spPr>
            <a:ln w="19050" cap="rnd">
              <a:noFill/>
              <a:round/>
            </a:ln>
            <a:effectLst/>
          </c:spPr>
          <c:marker>
            <c:symbol val="triangle"/>
            <c:size val="7"/>
            <c:spPr>
              <a:solidFill>
                <a:srgbClr val="FF9900"/>
              </a:solidFill>
              <a:ln w="9525">
                <a:solidFill>
                  <a:srgbClr val="FF9900"/>
                </a:solidFill>
              </a:ln>
              <a:effectLst/>
            </c:spPr>
          </c:marker>
          <c:xVal>
            <c:multiLvlStrRef>
              <c:f>[Uganda_results_2019.xlsx]CRD_Ready!$A$103:$B$126</c:f>
              <c:multiLvlStrCache>
                <c:ptCount val="24"/>
                <c:lvl>
                  <c:pt idx="0">
                    <c:v>Regional hospital</c:v>
                  </c:pt>
                  <c:pt idx="1">
                    <c:v>General Hospital</c:v>
                  </c:pt>
                  <c:pt idx="2">
                    <c:v>HC IV</c:v>
                  </c:pt>
                  <c:pt idx="3">
                    <c:v>HC III</c:v>
                  </c:pt>
                  <c:pt idx="4">
                    <c:v>HC II</c:v>
                  </c:pt>
                  <c:pt idx="6">
                    <c:v>Public</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c:v>
                  </c:pt>
                </c:lvl>
                <c:lvl>
                  <c:pt idx="0">
                    <c:v>Level</c:v>
                  </c:pt>
                  <c:pt idx="6">
                    <c:v>Ownership</c:v>
                  </c:pt>
                  <c:pt idx="9">
                    <c:v>Location</c:v>
                  </c:pt>
                  <c:pt idx="12">
                    <c:v>Health Region</c:v>
                  </c:pt>
                  <c:pt idx="23">
                    <c:v>National</c:v>
                  </c:pt>
                </c:lvl>
              </c:multiLvlStrCache>
            </c:multiLvlStrRef>
          </c:xVal>
          <c:yVal>
            <c:numRef>
              <c:f>CRD_Ready!$E$103:$E$126</c:f>
              <c:numCache>
                <c:formatCode>0</c:formatCode>
                <c:ptCount val="24"/>
                <c:pt idx="0">
                  <c:v>54.2</c:v>
                </c:pt>
                <c:pt idx="1">
                  <c:v>70.400000000000006</c:v>
                </c:pt>
                <c:pt idx="2">
                  <c:v>51.2</c:v>
                </c:pt>
                <c:pt idx="3">
                  <c:v>39.4</c:v>
                </c:pt>
                <c:pt idx="4">
                  <c:v>47.2</c:v>
                </c:pt>
                <c:pt idx="6">
                  <c:v>35.6</c:v>
                </c:pt>
                <c:pt idx="7">
                  <c:v>55.4</c:v>
                </c:pt>
                <c:pt idx="9">
                  <c:v>51.6</c:v>
                </c:pt>
                <c:pt idx="10">
                  <c:v>39.4</c:v>
                </c:pt>
                <c:pt idx="12">
                  <c:v>100</c:v>
                </c:pt>
                <c:pt idx="13">
                  <c:v>43.8</c:v>
                </c:pt>
                <c:pt idx="14">
                  <c:v>54</c:v>
                </c:pt>
                <c:pt idx="15">
                  <c:v>80</c:v>
                </c:pt>
                <c:pt idx="16">
                  <c:v>46.8</c:v>
                </c:pt>
                <c:pt idx="17">
                  <c:v>26.2</c:v>
                </c:pt>
                <c:pt idx="18">
                  <c:v>58</c:v>
                </c:pt>
                <c:pt idx="19">
                  <c:v>21.6</c:v>
                </c:pt>
                <c:pt idx="20">
                  <c:v>42.4</c:v>
                </c:pt>
                <c:pt idx="21">
                  <c:v>43.8</c:v>
                </c:pt>
                <c:pt idx="23">
                  <c:v>45.8</c:v>
                </c:pt>
              </c:numCache>
            </c:numRef>
          </c:yVal>
          <c:smooth val="0"/>
          <c:extLst>
            <c:ext xmlns:c16="http://schemas.microsoft.com/office/drawing/2014/chart" uri="{C3380CC4-5D6E-409C-BE32-E72D297353CC}">
              <c16:uniqueId val="{00000002-3C55-41FE-9A18-EEE329C7931E}"/>
            </c:ext>
          </c:extLst>
        </c:ser>
        <c:dLbls>
          <c:showLegendKey val="0"/>
          <c:showVal val="0"/>
          <c:showCatName val="0"/>
          <c:showSerName val="0"/>
          <c:showPercent val="0"/>
          <c:showBubbleSize val="0"/>
        </c:dLbls>
        <c:axId val="553036208"/>
        <c:axId val="553036600"/>
      </c:scatterChart>
      <c:catAx>
        <c:axId val="553036208"/>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crossAx val="553036600"/>
        <c:crosses val="autoZero"/>
        <c:auto val="1"/>
        <c:lblAlgn val="ctr"/>
        <c:lblOffset val="100"/>
        <c:noMultiLvlLbl val="0"/>
      </c:catAx>
      <c:valAx>
        <c:axId val="55303660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r>
                  <a:rPr lang="en-US" sz="1100">
                    <a:solidFill>
                      <a:sysClr val="windowText" lastClr="000000"/>
                    </a:solidFill>
                    <a:latin typeface="Georgia" panose="02040502050405020303" pitchFamily="18" charset="0"/>
                  </a:rPr>
                  <a:t>Percent availability</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eorgia" panose="02040502050405020303" pitchFamily="18" charset="0"/>
                <a:ea typeface="+mn-ea"/>
                <a:cs typeface="+mn-cs"/>
              </a:defRPr>
            </a:pPr>
            <a:endParaRPr lang="en-US"/>
          </a:p>
        </c:txPr>
        <c:crossAx val="553036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Georgia" panose="02040502050405020303" pitchFamily="18"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6">
                <a:lumMod val="40000"/>
                <a:lumOff val="60000"/>
              </a:schemeClr>
            </a:solidFill>
            <a:ln>
              <a:noFill/>
            </a:ln>
            <a:effectLst/>
          </c:spPr>
          <c:invertIfNegative val="0"/>
          <c:dPt>
            <c:idx val="7"/>
            <c:invertIfNegative val="0"/>
            <c:bubble3D val="0"/>
            <c:spPr>
              <a:pattFill prst="wdDnDiag">
                <a:fgClr>
                  <a:schemeClr val="accent6">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1-7ABA-4F73-A41A-7D2AD9A81A8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TB!$A$4:$A$11</c:f>
              <c:strCache>
                <c:ptCount val="8"/>
                <c:pt idx="0">
                  <c:v>Facility prescribe Drugs to TB Patients</c:v>
                </c:pt>
                <c:pt idx="1">
                  <c:v>Facility stocks TB medicines</c:v>
                </c:pt>
                <c:pt idx="2">
                  <c:v>Manage &amp; provide treatment follow-up for TB Patients</c:v>
                </c:pt>
                <c:pt idx="3">
                  <c:v>Facility provide Drugs for TB Patients</c:v>
                </c:pt>
                <c:pt idx="4">
                  <c:v>A system for testing TB patients for HIV</c:v>
                </c:pt>
                <c:pt idx="5">
                  <c:v>Diagnose/ screen TB</c:v>
                </c:pt>
                <c:pt idx="7">
                  <c:v>Tuberculosis services are offered</c:v>
                </c:pt>
              </c:strCache>
            </c:strRef>
          </c:cat>
          <c:val>
            <c:numRef>
              <c:f>TB!$B$4:$B$11</c:f>
              <c:numCache>
                <c:formatCode>General</c:formatCode>
                <c:ptCount val="8"/>
                <c:pt idx="0">
                  <c:v>87</c:v>
                </c:pt>
                <c:pt idx="1">
                  <c:v>90</c:v>
                </c:pt>
                <c:pt idx="2">
                  <c:v>94</c:v>
                </c:pt>
                <c:pt idx="3">
                  <c:v>95</c:v>
                </c:pt>
                <c:pt idx="4">
                  <c:v>95</c:v>
                </c:pt>
                <c:pt idx="5">
                  <c:v>99</c:v>
                </c:pt>
                <c:pt idx="7">
                  <c:v>32</c:v>
                </c:pt>
              </c:numCache>
            </c:numRef>
          </c:val>
          <c:extLst>
            <c:ext xmlns:c16="http://schemas.microsoft.com/office/drawing/2014/chart" uri="{C3380CC4-5D6E-409C-BE32-E72D297353CC}">
              <c16:uniqueId val="{00000002-7ABA-4F73-A41A-7D2AD9A81A83}"/>
            </c:ext>
          </c:extLst>
        </c:ser>
        <c:dLbls>
          <c:showLegendKey val="0"/>
          <c:showVal val="0"/>
          <c:showCatName val="0"/>
          <c:showSerName val="0"/>
          <c:showPercent val="0"/>
          <c:showBubbleSize val="0"/>
        </c:dLbls>
        <c:gapWidth val="62"/>
        <c:axId val="553035424"/>
        <c:axId val="553036992"/>
      </c:barChart>
      <c:catAx>
        <c:axId val="553035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36992"/>
        <c:crosses val="autoZero"/>
        <c:auto val="1"/>
        <c:lblAlgn val="ctr"/>
        <c:lblOffset val="100"/>
        <c:noMultiLvlLbl val="0"/>
      </c:catAx>
      <c:valAx>
        <c:axId val="553036992"/>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3542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TB!$A$26:$A$30</c:f>
              <c:strCache>
                <c:ptCount val="5"/>
                <c:pt idx="0">
                  <c:v>Culture</c:v>
                </c:pt>
                <c:pt idx="1">
                  <c:v>Chest X-ray</c:v>
                </c:pt>
                <c:pt idx="2">
                  <c:v>Rapid test (GeneXpert MTB/RIF)</c:v>
                </c:pt>
                <c:pt idx="3">
                  <c:v>Clinical Symptoms </c:v>
                </c:pt>
                <c:pt idx="4">
                  <c:v>Sputum Smear microscopy Examination</c:v>
                </c:pt>
              </c:strCache>
            </c:strRef>
          </c:cat>
          <c:val>
            <c:numRef>
              <c:f>TB!$B$26:$B$30</c:f>
              <c:numCache>
                <c:formatCode>General</c:formatCode>
                <c:ptCount val="5"/>
                <c:pt idx="0">
                  <c:v>35</c:v>
                </c:pt>
                <c:pt idx="1">
                  <c:v>36</c:v>
                </c:pt>
                <c:pt idx="2">
                  <c:v>48</c:v>
                </c:pt>
                <c:pt idx="3">
                  <c:v>81</c:v>
                </c:pt>
                <c:pt idx="4">
                  <c:v>87</c:v>
                </c:pt>
              </c:numCache>
            </c:numRef>
          </c:val>
          <c:extLst>
            <c:ext xmlns:c16="http://schemas.microsoft.com/office/drawing/2014/chart" uri="{C3380CC4-5D6E-409C-BE32-E72D297353CC}">
              <c16:uniqueId val="{00000000-BA0E-4190-ACC6-17BE234008D2}"/>
            </c:ext>
          </c:extLst>
        </c:ser>
        <c:dLbls>
          <c:showLegendKey val="0"/>
          <c:showVal val="0"/>
          <c:showCatName val="0"/>
          <c:showSerName val="0"/>
          <c:showPercent val="0"/>
          <c:showBubbleSize val="0"/>
        </c:dLbls>
        <c:gapWidth val="219"/>
        <c:overlap val="-27"/>
        <c:axId val="553037776"/>
        <c:axId val="553038168"/>
      </c:barChart>
      <c:catAx>
        <c:axId val="55303777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38168"/>
        <c:crosses val="autoZero"/>
        <c:auto val="1"/>
        <c:lblAlgn val="ctr"/>
        <c:lblOffset val="100"/>
        <c:noMultiLvlLbl val="0"/>
      </c:catAx>
      <c:valAx>
        <c:axId val="553038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3777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92D050"/>
            </a:solidFill>
            <a:ln>
              <a:noFill/>
            </a:ln>
            <a:effectLst/>
          </c:spPr>
          <c:invertIfNegative val="0"/>
          <c:dPt>
            <c:idx val="23"/>
            <c:invertIfNegative val="0"/>
            <c:bubble3D val="0"/>
            <c:spPr>
              <a:pattFill prst="wdDnDiag">
                <a:fgClr>
                  <a:srgbClr val="92D050"/>
                </a:fgClr>
                <a:bgClr>
                  <a:schemeClr val="bg1"/>
                </a:bgClr>
              </a:pattFill>
              <a:ln>
                <a:solidFill>
                  <a:schemeClr val="tx1"/>
                </a:solidFill>
              </a:ln>
              <a:effectLst/>
            </c:spPr>
            <c:extLst>
              <c:ext xmlns:c16="http://schemas.microsoft.com/office/drawing/2014/chart" uri="{C3380CC4-5D6E-409C-BE32-E72D297353CC}">
                <c16:uniqueId val="{00000001-EC22-4A5C-B5CF-165C2BB7B8AC}"/>
              </c:ext>
            </c:extLst>
          </c:dPt>
          <c:cat>
            <c:multiLvlStrRef>
              <c:f>TB!$A$71:$B$94</c:f>
              <c:multiLvlStrCache>
                <c:ptCount val="24"/>
                <c:lvl>
                  <c:pt idx="0">
                    <c:v>Regional Hospital</c:v>
                  </c:pt>
                  <c:pt idx="1">
                    <c:v>General</c:v>
                  </c:pt>
                  <c:pt idx="2">
                    <c:v>HC IV</c:v>
                  </c:pt>
                  <c:pt idx="3">
                    <c:v>HC III</c:v>
                  </c:pt>
                  <c:pt idx="4">
                    <c:v>HC II</c:v>
                  </c:pt>
                  <c:pt idx="6">
                    <c:v>Public/Govt</c:v>
                  </c:pt>
                  <c:pt idx="7">
                    <c:v>Private</c:v>
                  </c:pt>
                  <c:pt idx="9">
                    <c:v>Urban</c:v>
                  </c:pt>
                  <c:pt idx="10">
                    <c:v>Rural</c:v>
                  </c:pt>
                  <c:pt idx="12">
                    <c:v>Mid-North</c:v>
                  </c:pt>
                  <c:pt idx="13">
                    <c:v>South West</c:v>
                  </c:pt>
                  <c:pt idx="14">
                    <c:v>West Nile</c:v>
                  </c:pt>
                  <c:pt idx="15">
                    <c:v>Mid East</c:v>
                  </c:pt>
                  <c:pt idx="16">
                    <c:v>Central2</c:v>
                  </c:pt>
                  <c:pt idx="17">
                    <c:v>North East</c:v>
                  </c:pt>
                  <c:pt idx="18">
                    <c:v>Central1</c:v>
                  </c:pt>
                  <c:pt idx="19">
                    <c:v>Mid-West</c:v>
                  </c:pt>
                  <c:pt idx="20">
                    <c:v>Kampala</c:v>
                  </c:pt>
                  <c:pt idx="21">
                    <c:v>Karamoja</c:v>
                  </c:pt>
                  <c:pt idx="23">
                    <c:v>National</c:v>
                  </c:pt>
                </c:lvl>
                <c:lvl>
                  <c:pt idx="0">
                    <c:v>Facility level</c:v>
                  </c:pt>
                  <c:pt idx="6">
                    <c:v>Ownership</c:v>
                  </c:pt>
                  <c:pt idx="9">
                    <c:v>Location</c:v>
                  </c:pt>
                  <c:pt idx="12">
                    <c:v>Health Region</c:v>
                  </c:pt>
                  <c:pt idx="23">
                    <c:v>Uganda</c:v>
                  </c:pt>
                </c:lvl>
              </c:multiLvlStrCache>
            </c:multiLvlStrRef>
          </c:cat>
          <c:val>
            <c:numRef>
              <c:f>TB!$C$71:$C$94</c:f>
              <c:numCache>
                <c:formatCode>General</c:formatCode>
                <c:ptCount val="24"/>
                <c:pt idx="0">
                  <c:v>100</c:v>
                </c:pt>
                <c:pt idx="1">
                  <c:v>67</c:v>
                </c:pt>
                <c:pt idx="2">
                  <c:v>82</c:v>
                </c:pt>
                <c:pt idx="3">
                  <c:v>64</c:v>
                </c:pt>
                <c:pt idx="4">
                  <c:v>15</c:v>
                </c:pt>
                <c:pt idx="6">
                  <c:v>46</c:v>
                </c:pt>
                <c:pt idx="7">
                  <c:v>19</c:v>
                </c:pt>
                <c:pt idx="9">
                  <c:v>29</c:v>
                </c:pt>
                <c:pt idx="10">
                  <c:v>35</c:v>
                </c:pt>
                <c:pt idx="12">
                  <c:v>50</c:v>
                </c:pt>
                <c:pt idx="13">
                  <c:v>45</c:v>
                </c:pt>
                <c:pt idx="14">
                  <c:v>43</c:v>
                </c:pt>
                <c:pt idx="15">
                  <c:v>39</c:v>
                </c:pt>
                <c:pt idx="16">
                  <c:v>37</c:v>
                </c:pt>
                <c:pt idx="17">
                  <c:v>33</c:v>
                </c:pt>
                <c:pt idx="18">
                  <c:v>31</c:v>
                </c:pt>
                <c:pt idx="19">
                  <c:v>30</c:v>
                </c:pt>
                <c:pt idx="20">
                  <c:v>17</c:v>
                </c:pt>
                <c:pt idx="21">
                  <c:v>13</c:v>
                </c:pt>
                <c:pt idx="23">
                  <c:v>32</c:v>
                </c:pt>
              </c:numCache>
            </c:numRef>
          </c:val>
          <c:extLst>
            <c:ext xmlns:c16="http://schemas.microsoft.com/office/drawing/2014/chart" uri="{C3380CC4-5D6E-409C-BE32-E72D297353CC}">
              <c16:uniqueId val="{00000002-EC22-4A5C-B5CF-165C2BB7B8AC}"/>
            </c:ext>
          </c:extLst>
        </c:ser>
        <c:dLbls>
          <c:showLegendKey val="0"/>
          <c:showVal val="0"/>
          <c:showCatName val="0"/>
          <c:showSerName val="0"/>
          <c:showPercent val="0"/>
          <c:showBubbleSize val="0"/>
        </c:dLbls>
        <c:gapWidth val="62"/>
        <c:overlap val="-27"/>
        <c:axId val="553039344"/>
        <c:axId val="553039736"/>
      </c:barChart>
      <c:catAx>
        <c:axId val="553039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39736"/>
        <c:crosses val="autoZero"/>
        <c:auto val="1"/>
        <c:lblAlgn val="ctr"/>
        <c:lblOffset val="100"/>
        <c:noMultiLvlLbl val="0"/>
      </c:catAx>
      <c:valAx>
        <c:axId val="553039736"/>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3934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9900"/>
            </a:solidFill>
            <a:ln>
              <a:noFill/>
            </a:ln>
            <a:effectLst/>
          </c:spPr>
          <c:invertIfNegative val="0"/>
          <c:dPt>
            <c:idx val="0"/>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1-74BC-40AF-AD40-4E97226267C3}"/>
              </c:ext>
            </c:extLst>
          </c:dPt>
          <c:dPt>
            <c:idx val="1"/>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3-74BC-40AF-AD40-4E97226267C3}"/>
              </c:ext>
            </c:extLst>
          </c:dPt>
          <c:dPt>
            <c:idx val="2"/>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5-74BC-40AF-AD40-4E97226267C3}"/>
              </c:ext>
            </c:extLst>
          </c:dPt>
          <c:dPt>
            <c:idx val="3"/>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7-74BC-40AF-AD40-4E97226267C3}"/>
              </c:ext>
            </c:extLst>
          </c:dPt>
          <c:dPt>
            <c:idx val="4"/>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9-74BC-40AF-AD40-4E97226267C3}"/>
              </c:ext>
            </c:extLst>
          </c:dPt>
          <c:dPt>
            <c:idx val="6"/>
            <c:invertIfNegative val="0"/>
            <c:bubble3D val="0"/>
            <c:spPr>
              <a:solidFill>
                <a:srgbClr val="00B0F0"/>
              </a:solidFill>
              <a:ln>
                <a:noFill/>
              </a:ln>
              <a:effectLst/>
            </c:spPr>
            <c:extLst>
              <c:ext xmlns:c16="http://schemas.microsoft.com/office/drawing/2014/chart" uri="{C3380CC4-5D6E-409C-BE32-E72D297353CC}">
                <c16:uniqueId val="{0000000B-74BC-40AF-AD40-4E97226267C3}"/>
              </c:ext>
            </c:extLst>
          </c:dPt>
          <c:dPt>
            <c:idx val="7"/>
            <c:invertIfNegative val="0"/>
            <c:bubble3D val="0"/>
            <c:spPr>
              <a:solidFill>
                <a:srgbClr val="00B0F0"/>
              </a:solidFill>
              <a:ln>
                <a:noFill/>
              </a:ln>
              <a:effectLst/>
            </c:spPr>
            <c:extLst>
              <c:ext xmlns:c16="http://schemas.microsoft.com/office/drawing/2014/chart" uri="{C3380CC4-5D6E-409C-BE32-E72D297353CC}">
                <c16:uniqueId val="{0000000D-74BC-40AF-AD40-4E97226267C3}"/>
              </c:ext>
            </c:extLst>
          </c:dPt>
          <c:dPt>
            <c:idx val="8"/>
            <c:invertIfNegative val="0"/>
            <c:bubble3D val="0"/>
            <c:spPr>
              <a:solidFill>
                <a:srgbClr val="00B0F0"/>
              </a:solidFill>
              <a:ln>
                <a:noFill/>
              </a:ln>
              <a:effectLst/>
            </c:spPr>
            <c:extLst>
              <c:ext xmlns:c16="http://schemas.microsoft.com/office/drawing/2014/chart" uri="{C3380CC4-5D6E-409C-BE32-E72D297353CC}">
                <c16:uniqueId val="{0000000F-74BC-40AF-AD40-4E97226267C3}"/>
              </c:ext>
            </c:extLst>
          </c:dPt>
          <c:dPt>
            <c:idx val="9"/>
            <c:invertIfNegative val="0"/>
            <c:bubble3D val="0"/>
            <c:spPr>
              <a:solidFill>
                <a:srgbClr val="00B0F0"/>
              </a:solidFill>
              <a:ln>
                <a:noFill/>
              </a:ln>
              <a:effectLst/>
            </c:spPr>
            <c:extLst>
              <c:ext xmlns:c16="http://schemas.microsoft.com/office/drawing/2014/chart" uri="{C3380CC4-5D6E-409C-BE32-E72D297353CC}">
                <c16:uniqueId val="{00000011-74BC-40AF-AD40-4E97226267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TB!$A$46:$B$66</c:f>
              <c:multiLvlStrCache>
                <c:ptCount val="21"/>
                <c:lvl>
                  <c:pt idx="0">
                    <c:v>TB-HIV Guidelines </c:v>
                  </c:pt>
                  <c:pt idx="1">
                    <c:v>National TB/ Leprosy Manual (2016)</c:v>
                  </c:pt>
                  <c:pt idx="2">
                    <c:v>TB infection control guidelines  </c:v>
                  </c:pt>
                  <c:pt idx="3">
                    <c:v>Isoniazid Preventive therapy guidelines 
</c:v>
                  </c:pt>
                  <c:pt idx="4">
                    <c:v>Programmatic management of Drug resistant TB guidelines </c:v>
                  </c:pt>
                  <c:pt idx="6">
                    <c:v>Management of HIV/TB Coinfection</c:v>
                  </c:pt>
                  <c:pt idx="7">
                    <c:v>Diagnosis &amp; treatment of TB</c:v>
                  </c:pt>
                  <c:pt idx="8">
                    <c:v>TB infection Control</c:v>
                  </c:pt>
                  <c:pt idx="9">
                    <c:v>MDR-TB</c:v>
                  </c:pt>
                  <c:pt idx="11">
                    <c:v>Rifampicin</c:v>
                  </c:pt>
                  <c:pt idx="12">
                    <c:v>Pyrazinamide</c:v>
                  </c:pt>
                  <c:pt idx="13">
                    <c:v>Isoniazid + Rifampicin + Ethambutol (RHE) (3FDC)</c:v>
                  </c:pt>
                  <c:pt idx="14">
                    <c:v>Isoniazid + Ethambutol (EH) (4FDC)</c:v>
                  </c:pt>
                  <c:pt idx="15">
                    <c:v>Ethambutol</c:v>
                  </c:pt>
                  <c:pt idx="16">
                    <c:v>Isoniazid</c:v>
                  </c:pt>
                  <c:pt idx="17">
                    <c:v>Streptomycin injectable </c:v>
                  </c:pt>
                  <c:pt idx="18">
                    <c:v>Isoniazid + Rifampicin (2FDC)</c:v>
                  </c:pt>
                  <c:pt idx="19">
                    <c:v>Isoniazid + Rifampicin + Pyrazinamid (RHZ) (3FDC)</c:v>
                  </c:pt>
                  <c:pt idx="20">
                    <c:v>Isoniazid + Rifampicin + Ethambutol + Pyrazinamid (4FDC)</c:v>
                  </c:pt>
                </c:lvl>
                <c:lvl>
                  <c:pt idx="0">
                    <c:v>TB Guidelines</c:v>
                  </c:pt>
                  <c:pt idx="6">
                    <c:v>Training in the last 2 years</c:v>
                  </c:pt>
                  <c:pt idx="11">
                    <c:v>TB medicines available</c:v>
                  </c:pt>
                </c:lvl>
              </c:multiLvlStrCache>
            </c:multiLvlStrRef>
          </c:cat>
          <c:val>
            <c:numRef>
              <c:f>TB!$C$46:$C$66</c:f>
              <c:numCache>
                <c:formatCode>General</c:formatCode>
                <c:ptCount val="21"/>
                <c:pt idx="0">
                  <c:v>90</c:v>
                </c:pt>
                <c:pt idx="1">
                  <c:v>73</c:v>
                </c:pt>
                <c:pt idx="2">
                  <c:v>73</c:v>
                </c:pt>
                <c:pt idx="3">
                  <c:v>67</c:v>
                </c:pt>
                <c:pt idx="4">
                  <c:v>45</c:v>
                </c:pt>
                <c:pt idx="6">
                  <c:v>76</c:v>
                </c:pt>
                <c:pt idx="7">
                  <c:v>72</c:v>
                </c:pt>
                <c:pt idx="8">
                  <c:v>72</c:v>
                </c:pt>
                <c:pt idx="9">
                  <c:v>48</c:v>
                </c:pt>
                <c:pt idx="11">
                  <c:v>25</c:v>
                </c:pt>
                <c:pt idx="12">
                  <c:v>28</c:v>
                </c:pt>
                <c:pt idx="13">
                  <c:v>40</c:v>
                </c:pt>
                <c:pt idx="14">
                  <c:v>43</c:v>
                </c:pt>
                <c:pt idx="15">
                  <c:v>47</c:v>
                </c:pt>
                <c:pt idx="16">
                  <c:v>48</c:v>
                </c:pt>
                <c:pt idx="17">
                  <c:v>51</c:v>
                </c:pt>
                <c:pt idx="18">
                  <c:v>59</c:v>
                </c:pt>
                <c:pt idx="19">
                  <c:v>59</c:v>
                </c:pt>
                <c:pt idx="20">
                  <c:v>65</c:v>
                </c:pt>
              </c:numCache>
            </c:numRef>
          </c:val>
          <c:extLst>
            <c:ext xmlns:c16="http://schemas.microsoft.com/office/drawing/2014/chart" uri="{C3380CC4-5D6E-409C-BE32-E72D297353CC}">
              <c16:uniqueId val="{00000012-74BC-40AF-AD40-4E97226267C3}"/>
            </c:ext>
          </c:extLst>
        </c:ser>
        <c:dLbls>
          <c:showLegendKey val="0"/>
          <c:showVal val="0"/>
          <c:showCatName val="0"/>
          <c:showSerName val="0"/>
          <c:showPercent val="0"/>
          <c:showBubbleSize val="0"/>
        </c:dLbls>
        <c:gapWidth val="62"/>
        <c:axId val="553040128"/>
        <c:axId val="553040520"/>
      </c:barChart>
      <c:catAx>
        <c:axId val="553040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40520"/>
        <c:crosses val="autoZero"/>
        <c:auto val="1"/>
        <c:lblAlgn val="ctr"/>
        <c:lblOffset val="100"/>
        <c:noMultiLvlLbl val="0"/>
      </c:catAx>
      <c:valAx>
        <c:axId val="553040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4012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C000"/>
            </a:solidFill>
            <a:ln>
              <a:noFill/>
            </a:ln>
            <a:effectLst/>
          </c:spPr>
          <c:invertIfNegative val="0"/>
          <c:dPt>
            <c:idx val="7"/>
            <c:invertIfNegative val="0"/>
            <c:bubble3D val="0"/>
            <c:spPr>
              <a:solidFill>
                <a:srgbClr val="FFC000"/>
              </a:solidFill>
              <a:ln>
                <a:solidFill>
                  <a:schemeClr val="tx1"/>
                </a:solidFill>
              </a:ln>
              <a:effectLst/>
            </c:spPr>
            <c:extLst>
              <c:ext xmlns:c16="http://schemas.microsoft.com/office/drawing/2014/chart" uri="{C3380CC4-5D6E-409C-BE32-E72D297353CC}">
                <c16:uniqueId val="{00000001-AAFC-4963-B8F1-1E2A222CCA5E}"/>
              </c:ext>
            </c:extLst>
          </c:dPt>
          <c:dPt>
            <c:idx val="10"/>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3-AAFC-4963-B8F1-1E2A222CCA5E}"/>
              </c:ext>
            </c:extLst>
          </c:dPt>
          <c:dPt>
            <c:idx val="11"/>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5-AAFC-4963-B8F1-1E2A222CCA5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Availability'!$A$4:$A$15</c:f>
              <c:strCache>
                <c:ptCount val="12"/>
                <c:pt idx="0">
                  <c:v>ORS sachets</c:v>
                </c:pt>
                <c:pt idx="1">
                  <c:v>Zinc sulphate tablets</c:v>
                </c:pt>
                <c:pt idx="2">
                  <c:v>Vitamin A capsules</c:v>
                </c:pt>
                <c:pt idx="3">
                  <c:v>Antibiotic eye ointment for newborns</c:v>
                </c:pt>
                <c:pt idx="4">
                  <c:v>Amoxicillin 250mg or 500mg dispersible tab or syrup/suspension</c:v>
                </c:pt>
                <c:pt idx="5">
                  <c:v>Zinc sulphate syrup or dispersable tablets</c:v>
                </c:pt>
                <c:pt idx="6">
                  <c:v>Procaine penicillin injection</c:v>
                </c:pt>
                <c:pt idx="7">
                  <c:v>Co-trimoxazole syrup/suspension</c:v>
                </c:pt>
                <c:pt idx="8">
                  <c:v>Paracetamol syrup/suspension</c:v>
                </c:pt>
                <c:pt idx="10">
                  <c:v>Facilities with all items of essential medicines for children</c:v>
                </c:pt>
                <c:pt idx="11">
                  <c:v>Mean Availability of essential medicines for children</c:v>
                </c:pt>
              </c:strCache>
            </c:strRef>
          </c:cat>
          <c:val>
            <c:numRef>
              <c:f>'Drugs -  Mean Availability'!$B$4:$B$15</c:f>
              <c:numCache>
                <c:formatCode>0</c:formatCode>
                <c:ptCount val="12"/>
                <c:pt idx="0">
                  <c:v>86</c:v>
                </c:pt>
                <c:pt idx="1">
                  <c:v>76</c:v>
                </c:pt>
                <c:pt idx="2">
                  <c:v>76</c:v>
                </c:pt>
                <c:pt idx="3">
                  <c:v>75</c:v>
                </c:pt>
                <c:pt idx="4">
                  <c:v>53</c:v>
                </c:pt>
                <c:pt idx="5">
                  <c:v>52</c:v>
                </c:pt>
                <c:pt idx="6">
                  <c:v>51</c:v>
                </c:pt>
                <c:pt idx="7">
                  <c:v>41</c:v>
                </c:pt>
                <c:pt idx="8">
                  <c:v>38</c:v>
                </c:pt>
                <c:pt idx="10">
                  <c:v>12</c:v>
                </c:pt>
                <c:pt idx="11">
                  <c:v>60.888888888888886</c:v>
                </c:pt>
              </c:numCache>
            </c:numRef>
          </c:val>
          <c:extLst>
            <c:ext xmlns:c16="http://schemas.microsoft.com/office/drawing/2014/chart" uri="{C3380CC4-5D6E-409C-BE32-E72D297353CC}">
              <c16:uniqueId val="{00000006-AAFC-4963-B8F1-1E2A222CCA5E}"/>
            </c:ext>
          </c:extLst>
        </c:ser>
        <c:dLbls>
          <c:showLegendKey val="0"/>
          <c:showVal val="0"/>
          <c:showCatName val="0"/>
          <c:showSerName val="0"/>
          <c:showPercent val="0"/>
          <c:showBubbleSize val="0"/>
        </c:dLbls>
        <c:gapWidth val="62"/>
        <c:axId val="553041304"/>
        <c:axId val="553041696"/>
      </c:barChart>
      <c:catAx>
        <c:axId val="5530413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41696"/>
        <c:crosses val="autoZero"/>
        <c:auto val="1"/>
        <c:lblAlgn val="ctr"/>
        <c:lblOffset val="100"/>
        <c:noMultiLvlLbl val="0"/>
      </c:catAx>
      <c:valAx>
        <c:axId val="5530416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4130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FFC000"/>
            </a:solidFill>
            <a:ln>
              <a:noFill/>
            </a:ln>
            <a:effectLst/>
          </c:spPr>
          <c:invertIfNegative val="0"/>
          <c:dPt>
            <c:idx val="23"/>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1-0A10-49D4-92E3-598DFA451E28}"/>
              </c:ext>
            </c:extLst>
          </c:dPt>
          <c:cat>
            <c:multiLvlStrRef>
              <c:f>'Drugs -  Mean Availability'!$A$33:$B$56</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Karamoja</c:v>
                  </c:pt>
                  <c:pt idx="13">
                    <c:v>Mid East</c:v>
                  </c:pt>
                  <c:pt idx="14">
                    <c:v>West Nile</c:v>
                  </c:pt>
                  <c:pt idx="15">
                    <c:v>Central1</c:v>
                  </c:pt>
                  <c:pt idx="16">
                    <c:v>Kampala</c:v>
                  </c:pt>
                  <c:pt idx="17">
                    <c:v>South West</c:v>
                  </c:pt>
                  <c:pt idx="18">
                    <c:v>North East</c:v>
                  </c:pt>
                  <c:pt idx="19">
                    <c:v>Mid-West</c:v>
                  </c:pt>
                  <c:pt idx="20">
                    <c:v>Central2</c:v>
                  </c:pt>
                  <c:pt idx="21">
                    <c:v>Mid-North</c:v>
                  </c:pt>
                  <c:pt idx="23">
                    <c:v>National</c:v>
                  </c:pt>
                </c:lvl>
                <c:lvl>
                  <c:pt idx="0">
                    <c:v>Facility Level</c:v>
                  </c:pt>
                  <c:pt idx="6">
                    <c:v>Ownership</c:v>
                  </c:pt>
                  <c:pt idx="9">
                    <c:v>Location</c:v>
                  </c:pt>
                  <c:pt idx="12">
                    <c:v>Health Region</c:v>
                  </c:pt>
                  <c:pt idx="23">
                    <c:v>Uganda</c:v>
                  </c:pt>
                </c:lvl>
              </c:multiLvlStrCache>
            </c:multiLvlStrRef>
          </c:cat>
          <c:val>
            <c:numRef>
              <c:f>'Drugs -  Mean Availability'!$C$33:$C$56</c:f>
              <c:numCache>
                <c:formatCode>0</c:formatCode>
                <c:ptCount val="24"/>
                <c:pt idx="0">
                  <c:v>56.349209999999999</c:v>
                </c:pt>
                <c:pt idx="1">
                  <c:v>60.082299999999996</c:v>
                </c:pt>
                <c:pt idx="2">
                  <c:v>62.068959999999997</c:v>
                </c:pt>
                <c:pt idx="3">
                  <c:v>59.595959999999998</c:v>
                </c:pt>
                <c:pt idx="4">
                  <c:v>53.459119999999999</c:v>
                </c:pt>
                <c:pt idx="6">
                  <c:v>51.464550000000003</c:v>
                </c:pt>
                <c:pt idx="7">
                  <c:v>59.488419999999998</c:v>
                </c:pt>
                <c:pt idx="9">
                  <c:v>57.817709999999998</c:v>
                </c:pt>
                <c:pt idx="10">
                  <c:v>53.981830000000002</c:v>
                </c:pt>
                <c:pt idx="12">
                  <c:v>33.888888888888886</c:v>
                </c:pt>
                <c:pt idx="13">
                  <c:v>48.888888888888886</c:v>
                </c:pt>
                <c:pt idx="14">
                  <c:v>53</c:v>
                </c:pt>
                <c:pt idx="15">
                  <c:v>62.888888888888886</c:v>
                </c:pt>
                <c:pt idx="16">
                  <c:v>63</c:v>
                </c:pt>
                <c:pt idx="17">
                  <c:v>63.666666666666664</c:v>
                </c:pt>
                <c:pt idx="18">
                  <c:v>65.666666666666671</c:v>
                </c:pt>
                <c:pt idx="19">
                  <c:v>66.222222222222229</c:v>
                </c:pt>
                <c:pt idx="20">
                  <c:v>67</c:v>
                </c:pt>
                <c:pt idx="21">
                  <c:v>68.333333333333329</c:v>
                </c:pt>
                <c:pt idx="23">
                  <c:v>61</c:v>
                </c:pt>
              </c:numCache>
            </c:numRef>
          </c:val>
          <c:extLst>
            <c:ext xmlns:c16="http://schemas.microsoft.com/office/drawing/2014/chart" uri="{C3380CC4-5D6E-409C-BE32-E72D297353CC}">
              <c16:uniqueId val="{00000002-0A10-49D4-92E3-598DFA451E28}"/>
            </c:ext>
          </c:extLst>
        </c:ser>
        <c:dLbls>
          <c:showLegendKey val="0"/>
          <c:showVal val="0"/>
          <c:showCatName val="0"/>
          <c:showSerName val="0"/>
          <c:showPercent val="0"/>
          <c:showBubbleSize val="0"/>
        </c:dLbls>
        <c:gapWidth val="60"/>
        <c:overlap val="-27"/>
        <c:axId val="553042872"/>
        <c:axId val="552701064"/>
      </c:barChart>
      <c:catAx>
        <c:axId val="553042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701064"/>
        <c:crosses val="autoZero"/>
        <c:auto val="1"/>
        <c:lblAlgn val="ctr"/>
        <c:lblOffset val="100"/>
        <c:noMultiLvlLbl val="0"/>
      </c:catAx>
      <c:valAx>
        <c:axId val="552701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42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Availability'!$A$64:$A$67</c:f>
              <c:strCache>
                <c:ptCount val="4"/>
                <c:pt idx="0">
                  <c:v>ORS sachets</c:v>
                </c:pt>
                <c:pt idx="1">
                  <c:v>Zinc sulphate tablets</c:v>
                </c:pt>
                <c:pt idx="2">
                  <c:v>Zinc sulphate syrup or dispersable tablets</c:v>
                </c:pt>
                <c:pt idx="3">
                  <c:v>Amoxicillin 250mg or 500mg dispersible tab/syrup suspension</c:v>
                </c:pt>
              </c:strCache>
            </c:strRef>
          </c:cat>
          <c:val>
            <c:numRef>
              <c:f>'Drugs -  Mean Availability'!$B$64:$B$67</c:f>
              <c:numCache>
                <c:formatCode>0</c:formatCode>
                <c:ptCount val="4"/>
                <c:pt idx="0">
                  <c:v>29</c:v>
                </c:pt>
                <c:pt idx="1">
                  <c:v>39</c:v>
                </c:pt>
                <c:pt idx="2">
                  <c:v>56</c:v>
                </c:pt>
                <c:pt idx="3">
                  <c:v>59</c:v>
                </c:pt>
              </c:numCache>
            </c:numRef>
          </c:val>
          <c:extLst>
            <c:ext xmlns:c16="http://schemas.microsoft.com/office/drawing/2014/chart" uri="{C3380CC4-5D6E-409C-BE32-E72D297353CC}">
              <c16:uniqueId val="{00000000-A8CA-4552-89BB-1D7BEE187284}"/>
            </c:ext>
          </c:extLst>
        </c:ser>
        <c:dLbls>
          <c:showLegendKey val="0"/>
          <c:showVal val="0"/>
          <c:showCatName val="0"/>
          <c:showSerName val="0"/>
          <c:showPercent val="0"/>
          <c:showBubbleSize val="0"/>
        </c:dLbls>
        <c:gapWidth val="219"/>
        <c:overlap val="-27"/>
        <c:axId val="531115776"/>
        <c:axId val="552458312"/>
      </c:barChart>
      <c:catAx>
        <c:axId val="531115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58312"/>
        <c:crosses val="autoZero"/>
        <c:auto val="1"/>
        <c:lblAlgn val="ctr"/>
        <c:lblOffset val="100"/>
        <c:noMultiLvlLbl val="0"/>
      </c:catAx>
      <c:valAx>
        <c:axId val="552458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11577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92D050"/>
            </a:solidFill>
            <a:ln>
              <a:noFill/>
            </a:ln>
            <a:effectLst/>
          </c:spPr>
          <c:invertIfNegative val="0"/>
          <c:dPt>
            <c:idx val="0"/>
            <c:invertIfNegative val="0"/>
            <c:bubble3D val="0"/>
            <c:spPr>
              <a:pattFill prst="wdDnDiag">
                <a:fgClr>
                  <a:srgbClr val="92D050"/>
                </a:fgClr>
                <a:bgClr>
                  <a:schemeClr val="bg1"/>
                </a:bgClr>
              </a:pattFill>
              <a:ln>
                <a:solidFill>
                  <a:schemeClr val="tx1"/>
                </a:solidFill>
              </a:ln>
              <a:effectLst/>
            </c:spPr>
            <c:extLst>
              <c:ext xmlns:c16="http://schemas.microsoft.com/office/drawing/2014/chart" uri="{C3380CC4-5D6E-409C-BE32-E72D297353CC}">
                <c16:uniqueId val="{00000001-6C56-4724-B676-445C37B0210B}"/>
              </c:ext>
            </c:extLst>
          </c:dPt>
          <c:dPt>
            <c:idx val="9"/>
            <c:invertIfNegative val="0"/>
            <c:bubble3D val="0"/>
            <c:spPr>
              <a:pattFill prst="wdDnDiag">
                <a:fgClr>
                  <a:srgbClr val="92D050"/>
                </a:fgClr>
                <a:bgClr>
                  <a:schemeClr val="bg1"/>
                </a:bgClr>
              </a:pattFill>
              <a:ln>
                <a:solidFill>
                  <a:schemeClr val="tx1"/>
                </a:solidFill>
              </a:ln>
              <a:effectLst/>
            </c:spPr>
            <c:extLst>
              <c:ext xmlns:c16="http://schemas.microsoft.com/office/drawing/2014/chart" uri="{C3380CC4-5D6E-409C-BE32-E72D297353CC}">
                <c16:uniqueId val="{00000003-6C56-4724-B676-445C37B0210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Availability'!$A$89:$A$98</c:f>
              <c:strCache>
                <c:ptCount val="10"/>
                <c:pt idx="0">
                  <c:v>Mean availability of items of essential medicines for malaria</c:v>
                </c:pt>
                <c:pt idx="2">
                  <c:v>Artemisinin not as combination therapy</c:v>
                </c:pt>
                <c:pt idx="3">
                  <c:v>Insecticide treated best nets vouchers (ITN vouchers)</c:v>
                </c:pt>
                <c:pt idx="4">
                  <c:v>Insecticide treated best nets (ITNs)</c:v>
                </c:pt>
                <c:pt idx="5">
                  <c:v>Artesunate rectal and injection dosage forms</c:v>
                </c:pt>
                <c:pt idx="6">
                  <c:v>Sulfadoxine+Pyrimethamine (SP)</c:v>
                </c:pt>
                <c:pt idx="7">
                  <c:v>ACTs</c:v>
                </c:pt>
                <c:pt idx="9">
                  <c:v>Stocks medicines for malaria treatment</c:v>
                </c:pt>
              </c:strCache>
            </c:strRef>
          </c:cat>
          <c:val>
            <c:numRef>
              <c:f>'Drugs -  Mean Availability'!$B$89:$B$98</c:f>
              <c:numCache>
                <c:formatCode>General</c:formatCode>
                <c:ptCount val="10"/>
                <c:pt idx="0" formatCode="0">
                  <c:v>52.5</c:v>
                </c:pt>
                <c:pt idx="2" formatCode="0">
                  <c:v>26</c:v>
                </c:pt>
                <c:pt idx="3" formatCode="0">
                  <c:v>33</c:v>
                </c:pt>
                <c:pt idx="4" formatCode="0">
                  <c:v>42</c:v>
                </c:pt>
                <c:pt idx="5" formatCode="0">
                  <c:v>60</c:v>
                </c:pt>
                <c:pt idx="6" formatCode="0">
                  <c:v>72</c:v>
                </c:pt>
                <c:pt idx="7" formatCode="0">
                  <c:v>82</c:v>
                </c:pt>
                <c:pt idx="9" formatCode="0">
                  <c:v>95</c:v>
                </c:pt>
              </c:numCache>
            </c:numRef>
          </c:val>
          <c:extLst>
            <c:ext xmlns:c16="http://schemas.microsoft.com/office/drawing/2014/chart" uri="{C3380CC4-5D6E-409C-BE32-E72D297353CC}">
              <c16:uniqueId val="{00000004-6C56-4724-B676-445C37B0210B}"/>
            </c:ext>
          </c:extLst>
        </c:ser>
        <c:dLbls>
          <c:showLegendKey val="0"/>
          <c:showVal val="0"/>
          <c:showCatName val="0"/>
          <c:showSerName val="0"/>
          <c:showPercent val="0"/>
          <c:showBubbleSize val="0"/>
        </c:dLbls>
        <c:gapWidth val="62"/>
        <c:axId val="552459096"/>
        <c:axId val="552459488"/>
      </c:barChart>
      <c:catAx>
        <c:axId val="5524590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59488"/>
        <c:crosses val="autoZero"/>
        <c:auto val="1"/>
        <c:lblAlgn val="ctr"/>
        <c:lblOffset val="100"/>
        <c:noMultiLvlLbl val="0"/>
      </c:catAx>
      <c:valAx>
        <c:axId val="552459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5909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92D050"/>
            </a:solidFill>
            <a:ln>
              <a:noFill/>
            </a:ln>
            <a:effectLst/>
          </c:spPr>
          <c:invertIfNegative val="0"/>
          <c:dPt>
            <c:idx val="24"/>
            <c:invertIfNegative val="0"/>
            <c:bubble3D val="0"/>
            <c:spPr>
              <a:pattFill prst="wdDnDiag">
                <a:fgClr>
                  <a:srgbClr val="92D050"/>
                </a:fgClr>
                <a:bgClr>
                  <a:schemeClr val="bg1"/>
                </a:bgClr>
              </a:pattFill>
              <a:ln>
                <a:solidFill>
                  <a:schemeClr val="tx1"/>
                </a:solidFill>
              </a:ln>
              <a:effectLst/>
            </c:spPr>
            <c:extLst>
              <c:ext xmlns:c16="http://schemas.microsoft.com/office/drawing/2014/chart" uri="{C3380CC4-5D6E-409C-BE32-E72D297353CC}">
                <c16:uniqueId val="{00000001-07C6-47BB-B83F-1ED17B35D8C6}"/>
              </c:ext>
            </c:extLst>
          </c:dPt>
          <c:cat>
            <c:multiLvlStrRef>
              <c:f>'Drugs -  Mean Availability'!$A$118:$B$142</c:f>
              <c:multiLvlStrCache>
                <c:ptCount val="25"/>
                <c:lvl>
                  <c:pt idx="0">
                    <c:v>Regional Hospital</c:v>
                  </c:pt>
                  <c:pt idx="1">
                    <c:v>General Hospital</c:v>
                  </c:pt>
                  <c:pt idx="2">
                    <c:v>HC IV</c:v>
                  </c:pt>
                  <c:pt idx="3">
                    <c:v>HC III</c:v>
                  </c:pt>
                  <c:pt idx="4">
                    <c:v>HC II</c:v>
                  </c:pt>
                  <c:pt idx="6">
                    <c:v>Public/G</c:v>
                  </c:pt>
                  <c:pt idx="7">
                    <c:v>Private</c:v>
                  </c:pt>
                  <c:pt idx="10">
                    <c:v>Urban</c:v>
                  </c:pt>
                  <c:pt idx="11">
                    <c:v>Rural</c:v>
                  </c:pt>
                  <c:pt idx="13">
                    <c:v>Central2</c:v>
                  </c:pt>
                  <c:pt idx="14">
                    <c:v>Karamoja</c:v>
                  </c:pt>
                  <c:pt idx="15">
                    <c:v>Mid-West</c:v>
                  </c:pt>
                  <c:pt idx="16">
                    <c:v>West Nile</c:v>
                  </c:pt>
                  <c:pt idx="17">
                    <c:v>Central1</c:v>
                  </c:pt>
                  <c:pt idx="18">
                    <c:v>Mid East</c:v>
                  </c:pt>
                  <c:pt idx="19">
                    <c:v>Kampala</c:v>
                  </c:pt>
                  <c:pt idx="20">
                    <c:v>North East</c:v>
                  </c:pt>
                  <c:pt idx="21">
                    <c:v>South West</c:v>
                  </c:pt>
                  <c:pt idx="22">
                    <c:v>Mid-North</c:v>
                  </c:pt>
                  <c:pt idx="24">
                    <c:v>National</c:v>
                  </c:pt>
                </c:lvl>
                <c:lvl>
                  <c:pt idx="0">
                    <c:v>Facility Level</c:v>
                  </c:pt>
                  <c:pt idx="6">
                    <c:v>Ownership</c:v>
                  </c:pt>
                  <c:pt idx="10">
                    <c:v>Location</c:v>
                  </c:pt>
                  <c:pt idx="13">
                    <c:v>Health Region</c:v>
                  </c:pt>
                  <c:pt idx="24">
                    <c:v>Uganda</c:v>
                  </c:pt>
                </c:lvl>
              </c:multiLvlStrCache>
            </c:multiLvlStrRef>
          </c:cat>
          <c:val>
            <c:numRef>
              <c:f>'Drugs -  Mean Availability'!$C$118:$C$142</c:f>
              <c:numCache>
                <c:formatCode>0</c:formatCode>
                <c:ptCount val="25"/>
                <c:pt idx="0">
                  <c:v>40.476190000000003</c:v>
                </c:pt>
                <c:pt idx="1">
                  <c:v>51.02881</c:v>
                </c:pt>
                <c:pt idx="2">
                  <c:v>54.02299</c:v>
                </c:pt>
                <c:pt idx="3">
                  <c:v>45.454540000000001</c:v>
                </c:pt>
                <c:pt idx="4">
                  <c:v>33.333329999999997</c:v>
                </c:pt>
                <c:pt idx="6">
                  <c:v>38.135730000000002</c:v>
                </c:pt>
                <c:pt idx="7">
                  <c:v>37.838630000000002</c:v>
                </c:pt>
                <c:pt idx="10">
                  <c:v>40.447380000000003</c:v>
                </c:pt>
                <c:pt idx="11">
                  <c:v>36.110720000000001</c:v>
                </c:pt>
                <c:pt idx="13">
                  <c:v>69.5</c:v>
                </c:pt>
                <c:pt idx="14">
                  <c:v>64.166666666666671</c:v>
                </c:pt>
                <c:pt idx="15">
                  <c:v>63.833333333333336</c:v>
                </c:pt>
                <c:pt idx="16">
                  <c:v>63.5</c:v>
                </c:pt>
                <c:pt idx="17">
                  <c:v>55</c:v>
                </c:pt>
                <c:pt idx="18">
                  <c:v>51.833333333333336</c:v>
                </c:pt>
                <c:pt idx="19">
                  <c:v>49.833333333333336</c:v>
                </c:pt>
                <c:pt idx="20">
                  <c:v>47.166666666666664</c:v>
                </c:pt>
                <c:pt idx="21">
                  <c:v>46.833333333333336</c:v>
                </c:pt>
                <c:pt idx="22">
                  <c:v>35.333333333333336</c:v>
                </c:pt>
                <c:pt idx="24">
                  <c:v>52.5</c:v>
                </c:pt>
              </c:numCache>
            </c:numRef>
          </c:val>
          <c:extLst>
            <c:ext xmlns:c16="http://schemas.microsoft.com/office/drawing/2014/chart" uri="{C3380CC4-5D6E-409C-BE32-E72D297353CC}">
              <c16:uniqueId val="{00000002-07C6-47BB-B83F-1ED17B35D8C6}"/>
            </c:ext>
          </c:extLst>
        </c:ser>
        <c:dLbls>
          <c:showLegendKey val="0"/>
          <c:showVal val="0"/>
          <c:showCatName val="0"/>
          <c:showSerName val="0"/>
          <c:showPercent val="0"/>
          <c:showBubbleSize val="0"/>
        </c:dLbls>
        <c:gapWidth val="60"/>
        <c:overlap val="-27"/>
        <c:axId val="552460272"/>
        <c:axId val="552460664"/>
      </c:barChart>
      <c:catAx>
        <c:axId val="552460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0664"/>
        <c:crosses val="autoZero"/>
        <c:auto val="1"/>
        <c:lblAlgn val="ctr"/>
        <c:lblOffset val="100"/>
        <c:noMultiLvlLbl val="0"/>
      </c:catAx>
      <c:valAx>
        <c:axId val="552460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027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lumMod val="40000"/>
                <a:lumOff val="60000"/>
              </a:schemeClr>
            </a:solidFill>
            <a:ln>
              <a:noFill/>
            </a:ln>
            <a:effectLst/>
          </c:spPr>
          <c:invertIfNegative val="0"/>
          <c:dPt>
            <c:idx val="23"/>
            <c:invertIfNegative val="0"/>
            <c:bubble3D val="0"/>
            <c:spPr>
              <a:pattFill prst="wdDnDiag">
                <a:fgClr>
                  <a:schemeClr val="accent2">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1-6D1A-4D41-9058-6380DAA9958B}"/>
              </c:ext>
            </c:extLst>
          </c:dPt>
          <c:cat>
            <c:multiLvlStrRef>
              <c:f>'Drugs -  Mean Availability'!$A$204:$B$227</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Mid-North</c:v>
                  </c:pt>
                  <c:pt idx="13">
                    <c:v>Mid East</c:v>
                  </c:pt>
                  <c:pt idx="14">
                    <c:v>Karamoja</c:v>
                  </c:pt>
                  <c:pt idx="15">
                    <c:v>Central2</c:v>
                  </c:pt>
                  <c:pt idx="16">
                    <c:v>Kampala</c:v>
                  </c:pt>
                  <c:pt idx="17">
                    <c:v>North East</c:v>
                  </c:pt>
                  <c:pt idx="18">
                    <c:v>Mid-West</c:v>
                  </c:pt>
                  <c:pt idx="19">
                    <c:v>Central1</c:v>
                  </c:pt>
                  <c:pt idx="20">
                    <c:v>West Nile</c:v>
                  </c:pt>
                  <c:pt idx="21">
                    <c:v>South West</c:v>
                  </c:pt>
                  <c:pt idx="23">
                    <c:v>National</c:v>
                  </c:pt>
                </c:lvl>
                <c:lvl>
                  <c:pt idx="0">
                    <c:v>Facility Level</c:v>
                  </c:pt>
                  <c:pt idx="6">
                    <c:v>Ownership</c:v>
                  </c:pt>
                  <c:pt idx="9">
                    <c:v>Location</c:v>
                  </c:pt>
                  <c:pt idx="12">
                    <c:v>Health Region</c:v>
                  </c:pt>
                  <c:pt idx="23">
                    <c:v>Uganda</c:v>
                  </c:pt>
                </c:lvl>
              </c:multiLvlStrCache>
            </c:multiLvlStrRef>
          </c:cat>
          <c:val>
            <c:numRef>
              <c:f>'Drugs -  Mean Availability'!$C$204:$C$227</c:f>
              <c:numCache>
                <c:formatCode>0</c:formatCode>
                <c:ptCount val="24"/>
                <c:pt idx="0">
                  <c:v>70.408159999999995</c:v>
                </c:pt>
                <c:pt idx="1">
                  <c:v>35.449739999999998</c:v>
                </c:pt>
                <c:pt idx="2">
                  <c:v>44</c:v>
                </c:pt>
                <c:pt idx="3">
                  <c:v>27.272729999999999</c:v>
                </c:pt>
                <c:pt idx="4">
                  <c:v>9.9730460000000001</c:v>
                </c:pt>
                <c:pt idx="6">
                  <c:v>23.109259999999999</c:v>
                </c:pt>
                <c:pt idx="7">
                  <c:v>11.66389</c:v>
                </c:pt>
                <c:pt idx="9">
                  <c:v>15.985760000000001</c:v>
                </c:pt>
                <c:pt idx="10">
                  <c:v>18.04805</c:v>
                </c:pt>
                <c:pt idx="12">
                  <c:v>67</c:v>
                </c:pt>
                <c:pt idx="13">
                  <c:v>66.428571428571431</c:v>
                </c:pt>
                <c:pt idx="14">
                  <c:v>65.714285714285708</c:v>
                </c:pt>
                <c:pt idx="15">
                  <c:v>63.714285714285715</c:v>
                </c:pt>
                <c:pt idx="16">
                  <c:v>62.428571428571431</c:v>
                </c:pt>
                <c:pt idx="17">
                  <c:v>59.571428571428569</c:v>
                </c:pt>
                <c:pt idx="18">
                  <c:v>58.857142857142854</c:v>
                </c:pt>
                <c:pt idx="19">
                  <c:v>53.142857142857146</c:v>
                </c:pt>
                <c:pt idx="20">
                  <c:v>46.285714285714285</c:v>
                </c:pt>
                <c:pt idx="21">
                  <c:v>38.285714285714285</c:v>
                </c:pt>
                <c:pt idx="23">
                  <c:v>57.428571428571431</c:v>
                </c:pt>
              </c:numCache>
            </c:numRef>
          </c:val>
          <c:extLst>
            <c:ext xmlns:c16="http://schemas.microsoft.com/office/drawing/2014/chart" uri="{C3380CC4-5D6E-409C-BE32-E72D297353CC}">
              <c16:uniqueId val="{00000002-6D1A-4D41-9058-6380DAA9958B}"/>
            </c:ext>
          </c:extLst>
        </c:ser>
        <c:dLbls>
          <c:showLegendKey val="0"/>
          <c:showVal val="0"/>
          <c:showCatName val="0"/>
          <c:showSerName val="0"/>
          <c:showPercent val="0"/>
          <c:showBubbleSize val="0"/>
        </c:dLbls>
        <c:gapWidth val="62"/>
        <c:overlap val="-27"/>
        <c:axId val="552461840"/>
        <c:axId val="552462232"/>
      </c:barChart>
      <c:catAx>
        <c:axId val="55246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2232"/>
        <c:crosses val="autoZero"/>
        <c:auto val="1"/>
        <c:lblAlgn val="ctr"/>
        <c:lblOffset val="100"/>
        <c:noMultiLvlLbl val="0"/>
      </c:catAx>
      <c:valAx>
        <c:axId val="552462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184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2">
                <a:lumMod val="40000"/>
                <a:lumOff val="60000"/>
              </a:schemeClr>
            </a:solidFill>
            <a:ln>
              <a:noFill/>
            </a:ln>
            <a:effectLst/>
          </c:spPr>
          <c:invertIfNegative val="0"/>
          <c:dPt>
            <c:idx val="0"/>
            <c:invertIfNegative val="0"/>
            <c:bubble3D val="0"/>
            <c:spPr>
              <a:pattFill prst="wdDnDiag">
                <a:fgClr>
                  <a:schemeClr val="accent2">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1-E68B-4E61-8F35-936A6701FC38}"/>
              </c:ext>
            </c:extLst>
          </c:dPt>
          <c:dPt>
            <c:idx val="1"/>
            <c:invertIfNegative val="0"/>
            <c:bubble3D val="0"/>
            <c:spPr>
              <a:pattFill prst="wdDnDiag">
                <a:fgClr>
                  <a:schemeClr val="accent2">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3-E68B-4E61-8F35-936A6701FC38}"/>
              </c:ext>
            </c:extLst>
          </c:dPt>
          <c:dPt>
            <c:idx val="11"/>
            <c:invertIfNegative val="0"/>
            <c:bubble3D val="0"/>
            <c:spPr>
              <a:pattFill prst="wdDnDiag">
                <a:fgClr>
                  <a:schemeClr val="accent2">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5-E68B-4E61-8F35-936A6701FC38}"/>
              </c:ext>
            </c:extLst>
          </c:dPt>
          <c:cat>
            <c:strRef>
              <c:f>'Drugs -  Mean Availability'!$A$177:$A$188</c:f>
              <c:strCache>
                <c:ptCount val="12"/>
                <c:pt idx="0">
                  <c:v>Mean availability of items of essential medicines for TB</c:v>
                </c:pt>
                <c:pt idx="1">
                  <c:v>Facilities with all items of essential meds for TB</c:v>
                </c:pt>
                <c:pt idx="3">
                  <c:v>Isoniazid+Rifampicin+Pyrazinamide+Ethambutol (4FDC)</c:v>
                </c:pt>
                <c:pt idx="4">
                  <c:v>Isoniazid+Rifampicin (2FDC)</c:v>
                </c:pt>
                <c:pt idx="5">
                  <c:v>Streptomycin injectable</c:v>
                </c:pt>
                <c:pt idx="6">
                  <c:v>Isoniazid</c:v>
                </c:pt>
                <c:pt idx="7">
                  <c:v>Isoniazid+Rifampicin+Pyrazinamide (3FDC)</c:v>
                </c:pt>
                <c:pt idx="8">
                  <c:v>Ethambutol</c:v>
                </c:pt>
                <c:pt idx="9">
                  <c:v>Pyrazinamide</c:v>
                </c:pt>
                <c:pt idx="11">
                  <c:v>Stocks medicines for TB treatment</c:v>
                </c:pt>
              </c:strCache>
            </c:strRef>
          </c:cat>
          <c:val>
            <c:numRef>
              <c:f>'Drugs -  Mean Availability'!$B$177:$B$188</c:f>
              <c:numCache>
                <c:formatCode>0</c:formatCode>
                <c:ptCount val="12"/>
                <c:pt idx="0">
                  <c:v>57.428571428571431</c:v>
                </c:pt>
                <c:pt idx="1">
                  <c:v>5</c:v>
                </c:pt>
                <c:pt idx="3">
                  <c:v>79</c:v>
                </c:pt>
                <c:pt idx="4">
                  <c:v>72</c:v>
                </c:pt>
                <c:pt idx="5">
                  <c:v>69</c:v>
                </c:pt>
                <c:pt idx="6">
                  <c:v>61</c:v>
                </c:pt>
                <c:pt idx="7">
                  <c:v>47</c:v>
                </c:pt>
                <c:pt idx="8">
                  <c:v>45</c:v>
                </c:pt>
                <c:pt idx="9">
                  <c:v>28</c:v>
                </c:pt>
                <c:pt idx="11">
                  <c:v>33</c:v>
                </c:pt>
              </c:numCache>
            </c:numRef>
          </c:val>
          <c:extLst>
            <c:ext xmlns:c16="http://schemas.microsoft.com/office/drawing/2014/chart" uri="{C3380CC4-5D6E-409C-BE32-E72D297353CC}">
              <c16:uniqueId val="{00000006-E68B-4E61-8F35-936A6701FC38}"/>
            </c:ext>
          </c:extLst>
        </c:ser>
        <c:dLbls>
          <c:showLegendKey val="0"/>
          <c:showVal val="0"/>
          <c:showCatName val="0"/>
          <c:showSerName val="0"/>
          <c:showPercent val="0"/>
          <c:showBubbleSize val="0"/>
        </c:dLbls>
        <c:gapWidth val="62"/>
        <c:axId val="552462624"/>
        <c:axId val="552463016"/>
      </c:barChart>
      <c:catAx>
        <c:axId val="552462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3016"/>
        <c:crosses val="autoZero"/>
        <c:auto val="1"/>
        <c:lblAlgn val="ctr"/>
        <c:lblOffset val="100"/>
        <c:noMultiLvlLbl val="0"/>
      </c:catAx>
      <c:valAx>
        <c:axId val="5524630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262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6">
                <a:lumMod val="40000"/>
                <a:lumOff val="60000"/>
              </a:schemeClr>
            </a:solidFill>
            <a:ln>
              <a:noFill/>
            </a:ln>
            <a:effectLst/>
          </c:spPr>
          <c:invertIfNegative val="0"/>
          <c:dPt>
            <c:idx val="0"/>
            <c:invertIfNegative val="0"/>
            <c:bubble3D val="0"/>
            <c:spPr>
              <a:pattFill prst="wdDnDiag">
                <a:fgClr>
                  <a:schemeClr val="accent6">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1-4807-439B-908A-712E77F0CC31}"/>
              </c:ext>
            </c:extLst>
          </c:dPt>
          <c:dPt>
            <c:idx val="1"/>
            <c:invertIfNegative val="0"/>
            <c:bubble3D val="0"/>
            <c:spPr>
              <a:pattFill prst="wdDnDiag">
                <a:fgClr>
                  <a:schemeClr val="accent6">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3-4807-439B-908A-712E77F0CC31}"/>
              </c:ext>
            </c:extLst>
          </c:dPt>
          <c:dPt>
            <c:idx val="16"/>
            <c:invertIfNegative val="0"/>
            <c:bubble3D val="0"/>
            <c:spPr>
              <a:pattFill prst="wdDnDiag">
                <a:fgClr>
                  <a:schemeClr val="accent6">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5-4807-439B-908A-712E77F0CC3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Availability'!$A$238:$A$254</c:f>
              <c:strCache>
                <c:ptCount val="17"/>
                <c:pt idx="0">
                  <c:v>Mean availability of items of ARVs</c:v>
                </c:pt>
                <c:pt idx="1">
                  <c:v>Facilities with all items of ARVs</c:v>
                </c:pt>
                <c:pt idx="3">
                  <c:v>Tenofovir+Emtricitabine+Efavirenz (TDF+FTC+EFV)</c:v>
                </c:pt>
                <c:pt idx="4">
                  <c:v>Zidovudine (ZDV, AZT) syrup</c:v>
                </c:pt>
                <c:pt idx="5">
                  <c:v>Tenofovir+Emtricitabine (TDF+FTC)</c:v>
                </c:pt>
                <c:pt idx="6">
                  <c:v>Zidovudine+Lamivudine+Abacavir (AZT+3TC+ABC)</c:v>
                </c:pt>
                <c:pt idx="7">
                  <c:v>Dolutegravir (DTG)</c:v>
                </c:pt>
                <c:pt idx="8">
                  <c:v>Nevirapine (NVP) syrup</c:v>
                </c:pt>
                <c:pt idx="9">
                  <c:v>Tenofovir+Lamivudine (TDF+3TC)</c:v>
                </c:pt>
                <c:pt idx="10">
                  <c:v>Zidovudine+Lamivudine (AZT+3TC)</c:v>
                </c:pt>
                <c:pt idx="11">
                  <c:v>Lamivudine+Abacavir (3TC+ABC)</c:v>
                </c:pt>
                <c:pt idx="12">
                  <c:v>Zidovudine+Lamivudine+Nevirapine (AZT+3TC+NVP)</c:v>
                </c:pt>
                <c:pt idx="13">
                  <c:v>Efavirenz (EFV)</c:v>
                </c:pt>
                <c:pt idx="14">
                  <c:v>Tenofovir+Lamivudine+Efavirenz (TDF+3TC+EFV)</c:v>
                </c:pt>
                <c:pt idx="16">
                  <c:v>Stocks ARV medicines</c:v>
                </c:pt>
              </c:strCache>
            </c:strRef>
          </c:cat>
          <c:val>
            <c:numRef>
              <c:f>'Drugs -  Mean Availability'!$B$238:$B$254</c:f>
              <c:numCache>
                <c:formatCode>0</c:formatCode>
                <c:ptCount val="17"/>
                <c:pt idx="0">
                  <c:v>48.666666666666664</c:v>
                </c:pt>
                <c:pt idx="1">
                  <c:v>2</c:v>
                </c:pt>
                <c:pt idx="3">
                  <c:v>11</c:v>
                </c:pt>
                <c:pt idx="4">
                  <c:v>13</c:v>
                </c:pt>
                <c:pt idx="5">
                  <c:v>20</c:v>
                </c:pt>
                <c:pt idx="6">
                  <c:v>27</c:v>
                </c:pt>
                <c:pt idx="7">
                  <c:v>30</c:v>
                </c:pt>
                <c:pt idx="8">
                  <c:v>57</c:v>
                </c:pt>
                <c:pt idx="9">
                  <c:v>62</c:v>
                </c:pt>
                <c:pt idx="10">
                  <c:v>64</c:v>
                </c:pt>
                <c:pt idx="11">
                  <c:v>73</c:v>
                </c:pt>
                <c:pt idx="12">
                  <c:v>73</c:v>
                </c:pt>
                <c:pt idx="13">
                  <c:v>74</c:v>
                </c:pt>
                <c:pt idx="14">
                  <c:v>79</c:v>
                </c:pt>
                <c:pt idx="16">
                  <c:v>46</c:v>
                </c:pt>
              </c:numCache>
            </c:numRef>
          </c:val>
          <c:extLst>
            <c:ext xmlns:c16="http://schemas.microsoft.com/office/drawing/2014/chart" uri="{C3380CC4-5D6E-409C-BE32-E72D297353CC}">
              <c16:uniqueId val="{00000006-4807-439B-908A-712E77F0CC31}"/>
            </c:ext>
          </c:extLst>
        </c:ser>
        <c:dLbls>
          <c:showLegendKey val="0"/>
          <c:showVal val="0"/>
          <c:showCatName val="0"/>
          <c:showSerName val="0"/>
          <c:showPercent val="0"/>
          <c:showBubbleSize val="0"/>
        </c:dLbls>
        <c:gapWidth val="62"/>
        <c:axId val="552463800"/>
        <c:axId val="552464192"/>
      </c:barChart>
      <c:catAx>
        <c:axId val="552463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4192"/>
        <c:crosses val="autoZero"/>
        <c:auto val="1"/>
        <c:lblAlgn val="ctr"/>
        <c:lblOffset val="100"/>
        <c:noMultiLvlLbl val="0"/>
      </c:catAx>
      <c:valAx>
        <c:axId val="5524641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380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6">
                <a:lumMod val="40000"/>
                <a:lumOff val="60000"/>
              </a:schemeClr>
            </a:solidFill>
            <a:ln>
              <a:noFill/>
            </a:ln>
            <a:effectLst/>
          </c:spPr>
          <c:invertIfNegative val="0"/>
          <c:dPt>
            <c:idx val="23"/>
            <c:invertIfNegative val="0"/>
            <c:bubble3D val="0"/>
            <c:spPr>
              <a:pattFill prst="wdDnDiag">
                <a:fgClr>
                  <a:schemeClr val="accent6">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1-9E50-4BB4-9600-44FCDACC0114}"/>
              </c:ext>
            </c:extLst>
          </c:dPt>
          <c:cat>
            <c:multiLvlStrRef>
              <c:f>'Drugs -  Mean Availability'!$A$268:$B$291</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North East</c:v>
                  </c:pt>
                  <c:pt idx="13">
                    <c:v>Kampala</c:v>
                  </c:pt>
                  <c:pt idx="14">
                    <c:v>South West</c:v>
                  </c:pt>
                  <c:pt idx="15">
                    <c:v>West Nile</c:v>
                  </c:pt>
                  <c:pt idx="16">
                    <c:v>Mid-West</c:v>
                  </c:pt>
                  <c:pt idx="17">
                    <c:v>Karamoja</c:v>
                  </c:pt>
                  <c:pt idx="18">
                    <c:v>Central1</c:v>
                  </c:pt>
                  <c:pt idx="19">
                    <c:v>Mid East</c:v>
                  </c:pt>
                  <c:pt idx="20">
                    <c:v>Mid-North</c:v>
                  </c:pt>
                  <c:pt idx="21">
                    <c:v>Central2</c:v>
                  </c:pt>
                  <c:pt idx="23">
                    <c:v>National</c:v>
                  </c:pt>
                </c:lvl>
                <c:lvl>
                  <c:pt idx="0">
                    <c:v>Facility Level</c:v>
                  </c:pt>
                  <c:pt idx="6">
                    <c:v>Ownership</c:v>
                  </c:pt>
                  <c:pt idx="9">
                    <c:v>Location</c:v>
                  </c:pt>
                  <c:pt idx="12">
                    <c:v>Health Region</c:v>
                  </c:pt>
                  <c:pt idx="23">
                    <c:v>Uganda</c:v>
                  </c:pt>
                </c:lvl>
              </c:multiLvlStrCache>
            </c:multiLvlStrRef>
          </c:cat>
          <c:val>
            <c:numRef>
              <c:f>'Drugs -  Mean Availability'!$C$268:$C$291</c:f>
              <c:numCache>
                <c:formatCode>0</c:formatCode>
                <c:ptCount val="24"/>
                <c:pt idx="0">
                  <c:v>56.547620000000002</c:v>
                </c:pt>
                <c:pt idx="1">
                  <c:v>36.728389999999997</c:v>
                </c:pt>
                <c:pt idx="2">
                  <c:v>49</c:v>
                </c:pt>
                <c:pt idx="3">
                  <c:v>35.227269999999997</c:v>
                </c:pt>
                <c:pt idx="4">
                  <c:v>11.94969</c:v>
                </c:pt>
                <c:pt idx="6">
                  <c:v>26.998329999999999</c:v>
                </c:pt>
                <c:pt idx="7">
                  <c:v>14.77012</c:v>
                </c:pt>
                <c:pt idx="9">
                  <c:v>15.54917</c:v>
                </c:pt>
                <c:pt idx="10">
                  <c:v>24.502369999999999</c:v>
                </c:pt>
                <c:pt idx="12">
                  <c:v>90</c:v>
                </c:pt>
                <c:pt idx="13">
                  <c:v>67.666666666666671</c:v>
                </c:pt>
                <c:pt idx="14">
                  <c:v>57.333333333333336</c:v>
                </c:pt>
                <c:pt idx="15">
                  <c:v>56.583333333333336</c:v>
                </c:pt>
                <c:pt idx="16">
                  <c:v>53.5</c:v>
                </c:pt>
                <c:pt idx="17">
                  <c:v>52.666666666666664</c:v>
                </c:pt>
                <c:pt idx="18">
                  <c:v>42.916666666666664</c:v>
                </c:pt>
                <c:pt idx="19">
                  <c:v>40.583333333333336</c:v>
                </c:pt>
                <c:pt idx="20">
                  <c:v>38.333333333333336</c:v>
                </c:pt>
                <c:pt idx="21">
                  <c:v>28</c:v>
                </c:pt>
                <c:pt idx="23">
                  <c:v>48.666666666666664</c:v>
                </c:pt>
              </c:numCache>
            </c:numRef>
          </c:val>
          <c:extLst>
            <c:ext xmlns:c16="http://schemas.microsoft.com/office/drawing/2014/chart" uri="{C3380CC4-5D6E-409C-BE32-E72D297353CC}">
              <c16:uniqueId val="{00000002-9E50-4BB4-9600-44FCDACC0114}"/>
            </c:ext>
          </c:extLst>
        </c:ser>
        <c:dLbls>
          <c:showLegendKey val="0"/>
          <c:showVal val="0"/>
          <c:showCatName val="0"/>
          <c:showSerName val="0"/>
          <c:showPercent val="0"/>
          <c:showBubbleSize val="0"/>
        </c:dLbls>
        <c:gapWidth val="62"/>
        <c:overlap val="-27"/>
        <c:axId val="552465368"/>
        <c:axId val="552465760"/>
      </c:barChart>
      <c:catAx>
        <c:axId val="552465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5760"/>
        <c:crosses val="autoZero"/>
        <c:auto val="1"/>
        <c:lblAlgn val="ctr"/>
        <c:lblOffset val="100"/>
        <c:noMultiLvlLbl val="0"/>
      </c:catAx>
      <c:valAx>
        <c:axId val="552465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6536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F0"/>
            </a:solidFill>
            <a:ln>
              <a:noFill/>
            </a:ln>
            <a:effectLst/>
          </c:spPr>
          <c:invertIfNegative val="0"/>
          <c:dPt>
            <c:idx val="23"/>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1-A6E2-4804-8AFE-4124F06117FA}"/>
              </c:ext>
            </c:extLst>
          </c:dPt>
          <c:cat>
            <c:multiLvlStrRef>
              <c:f>'Drugs -  Mean Availability'!$A$330:$B$353</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North East</c:v>
                  </c:pt>
                  <c:pt idx="13">
                    <c:v>Central2</c:v>
                  </c:pt>
                  <c:pt idx="14">
                    <c:v>Kampala</c:v>
                  </c:pt>
                  <c:pt idx="15">
                    <c:v>Karamoja</c:v>
                  </c:pt>
                  <c:pt idx="16">
                    <c:v>Mid-West</c:v>
                  </c:pt>
                  <c:pt idx="17">
                    <c:v>Mid-North</c:v>
                  </c:pt>
                  <c:pt idx="18">
                    <c:v>Central1</c:v>
                  </c:pt>
                  <c:pt idx="19">
                    <c:v>Mid East</c:v>
                  </c:pt>
                  <c:pt idx="20">
                    <c:v>West Nile</c:v>
                  </c:pt>
                  <c:pt idx="21">
                    <c:v>South West</c:v>
                  </c:pt>
                  <c:pt idx="23">
                    <c:v>National</c:v>
                  </c:pt>
                </c:lvl>
                <c:lvl>
                  <c:pt idx="0">
                    <c:v>Facility Level</c:v>
                  </c:pt>
                  <c:pt idx="6">
                    <c:v>Ownership</c:v>
                  </c:pt>
                  <c:pt idx="9">
                    <c:v>Location</c:v>
                  </c:pt>
                  <c:pt idx="12">
                    <c:v>Health Region</c:v>
                  </c:pt>
                  <c:pt idx="23">
                    <c:v>Uganda</c:v>
                  </c:pt>
                </c:lvl>
              </c:multiLvlStrCache>
            </c:multiLvlStrRef>
          </c:cat>
          <c:val>
            <c:numRef>
              <c:f>'Drugs -  Mean Availability'!$C$330:$C$353</c:f>
              <c:numCache>
                <c:formatCode>0</c:formatCode>
                <c:ptCount val="24"/>
                <c:pt idx="0">
                  <c:v>34.523809999999997</c:v>
                </c:pt>
                <c:pt idx="1">
                  <c:v>26.543209999999998</c:v>
                </c:pt>
                <c:pt idx="2">
                  <c:v>27</c:v>
                </c:pt>
                <c:pt idx="3">
                  <c:v>13.63636</c:v>
                </c:pt>
                <c:pt idx="4">
                  <c:v>8.4905659999999994</c:v>
                </c:pt>
                <c:pt idx="6">
                  <c:v>11.58643</c:v>
                </c:pt>
                <c:pt idx="7">
                  <c:v>11</c:v>
                </c:pt>
                <c:pt idx="9">
                  <c:v>10.060879999999999</c:v>
                </c:pt>
                <c:pt idx="10">
                  <c:v>12.671060000000001</c:v>
                </c:pt>
                <c:pt idx="12">
                  <c:v>95.5</c:v>
                </c:pt>
                <c:pt idx="13">
                  <c:v>81.166666666666671</c:v>
                </c:pt>
                <c:pt idx="14">
                  <c:v>57.166666666666664</c:v>
                </c:pt>
                <c:pt idx="15">
                  <c:v>53</c:v>
                </c:pt>
                <c:pt idx="16">
                  <c:v>52.166666666666664</c:v>
                </c:pt>
                <c:pt idx="17">
                  <c:v>45.166666666666664</c:v>
                </c:pt>
                <c:pt idx="18">
                  <c:v>37.166666666666664</c:v>
                </c:pt>
                <c:pt idx="19">
                  <c:v>35.5</c:v>
                </c:pt>
                <c:pt idx="20">
                  <c:v>24.833333333333332</c:v>
                </c:pt>
                <c:pt idx="21">
                  <c:v>9.8333333333333339</c:v>
                </c:pt>
                <c:pt idx="23">
                  <c:v>43</c:v>
                </c:pt>
              </c:numCache>
            </c:numRef>
          </c:val>
          <c:extLst>
            <c:ext xmlns:c16="http://schemas.microsoft.com/office/drawing/2014/chart" uri="{C3380CC4-5D6E-409C-BE32-E72D297353CC}">
              <c16:uniqueId val="{00000002-A6E2-4804-8AFE-4124F06117FA}"/>
            </c:ext>
          </c:extLst>
        </c:ser>
        <c:dLbls>
          <c:showLegendKey val="0"/>
          <c:showVal val="0"/>
          <c:showCatName val="0"/>
          <c:showSerName val="0"/>
          <c:showPercent val="0"/>
          <c:showBubbleSize val="0"/>
        </c:dLbls>
        <c:gapWidth val="62"/>
        <c:overlap val="-27"/>
        <c:axId val="550381168"/>
        <c:axId val="550381560"/>
      </c:barChart>
      <c:catAx>
        <c:axId val="550381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1560"/>
        <c:crosses val="autoZero"/>
        <c:auto val="1"/>
        <c:lblAlgn val="ctr"/>
        <c:lblOffset val="100"/>
        <c:noMultiLvlLbl val="0"/>
      </c:catAx>
      <c:valAx>
        <c:axId val="55038156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116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00B0F0"/>
            </a:solidFill>
            <a:ln>
              <a:noFill/>
            </a:ln>
            <a:effectLst/>
          </c:spPr>
          <c:invertIfNegative val="0"/>
          <c:dPt>
            <c:idx val="0"/>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1-EBCE-4D94-BA06-D34346FBD005}"/>
              </c:ext>
            </c:extLst>
          </c:dPt>
          <c:dPt>
            <c:idx val="1"/>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3-EBCE-4D94-BA06-D34346FBD005}"/>
              </c:ext>
            </c:extLst>
          </c:dPt>
          <c:dPt>
            <c:idx val="10"/>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5-EBCE-4D94-BA06-D34346FBD00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Availability'!$A$301:$A$311</c:f>
              <c:strCache>
                <c:ptCount val="11"/>
                <c:pt idx="0">
                  <c:v>Mean availability of items of protease inhibitors</c:v>
                </c:pt>
                <c:pt idx="1">
                  <c:v>Facilities with all items of protease inhibitors</c:v>
                </c:pt>
                <c:pt idx="3">
                  <c:v>Dolutegravir (DTG)</c:v>
                </c:pt>
                <c:pt idx="4">
                  <c:v>Saquinavir (SQV)</c:v>
                </c:pt>
                <c:pt idx="5">
                  <c:v>Lopinavir (LPV) pellet</c:v>
                </c:pt>
                <c:pt idx="6">
                  <c:v>Atazanavir (ATV)</c:v>
                </c:pt>
                <c:pt idx="7">
                  <c:v>Ritonavir (RTV)</c:v>
                </c:pt>
                <c:pt idx="8">
                  <c:v>Lopinavir (LPV) tab</c:v>
                </c:pt>
                <c:pt idx="10">
                  <c:v>Stocks protease inhibitors for treatment of HIV/AIDS</c:v>
                </c:pt>
              </c:strCache>
            </c:strRef>
          </c:cat>
          <c:val>
            <c:numRef>
              <c:f>'Drugs -  Mean Availability'!$B$301:$B$311</c:f>
              <c:numCache>
                <c:formatCode>0</c:formatCode>
                <c:ptCount val="11"/>
                <c:pt idx="0">
                  <c:v>43</c:v>
                </c:pt>
                <c:pt idx="1">
                  <c:v>3</c:v>
                </c:pt>
                <c:pt idx="3">
                  <c:v>20</c:v>
                </c:pt>
                <c:pt idx="4">
                  <c:v>30</c:v>
                </c:pt>
                <c:pt idx="5">
                  <c:v>43</c:v>
                </c:pt>
                <c:pt idx="6">
                  <c:v>47</c:v>
                </c:pt>
                <c:pt idx="7">
                  <c:v>56</c:v>
                </c:pt>
                <c:pt idx="8">
                  <c:v>64</c:v>
                </c:pt>
                <c:pt idx="10">
                  <c:v>29</c:v>
                </c:pt>
              </c:numCache>
            </c:numRef>
          </c:val>
          <c:extLst>
            <c:ext xmlns:c16="http://schemas.microsoft.com/office/drawing/2014/chart" uri="{C3380CC4-5D6E-409C-BE32-E72D297353CC}">
              <c16:uniqueId val="{00000006-EBCE-4D94-BA06-D34346FBD005}"/>
            </c:ext>
          </c:extLst>
        </c:ser>
        <c:dLbls>
          <c:showLegendKey val="0"/>
          <c:showVal val="0"/>
          <c:showCatName val="0"/>
          <c:showSerName val="0"/>
          <c:showPercent val="0"/>
          <c:showBubbleSize val="0"/>
        </c:dLbls>
        <c:gapWidth val="62"/>
        <c:axId val="550381952"/>
        <c:axId val="550382344"/>
      </c:barChart>
      <c:catAx>
        <c:axId val="5503819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2344"/>
        <c:crosses val="autoZero"/>
        <c:auto val="1"/>
        <c:lblAlgn val="ctr"/>
        <c:lblOffset val="100"/>
        <c:noMultiLvlLbl val="0"/>
      </c:catAx>
      <c:valAx>
        <c:axId val="5503823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195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C000"/>
            </a:solidFill>
            <a:ln>
              <a:noFill/>
            </a:ln>
            <a:effectLst/>
          </c:spPr>
          <c:invertIfNegative val="0"/>
          <c:dPt>
            <c:idx val="24"/>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1-2F9B-467A-9D66-79908FB7CAD8}"/>
              </c:ext>
            </c:extLst>
          </c:dPt>
          <c:dPt>
            <c:idx val="25"/>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3-2F9B-467A-9D66-79908FB7CA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Availability'!$A$363:$A$388</c:f>
              <c:strCache>
                <c:ptCount val="26"/>
                <c:pt idx="0">
                  <c:v>Gliclazide tablet or glipizide tablet</c:v>
                </c:pt>
                <c:pt idx="1">
                  <c:v>Simvastatin cap/tab</c:v>
                </c:pt>
                <c:pt idx="2">
                  <c:v>Belcomeastone inhaler</c:v>
                </c:pt>
                <c:pt idx="3">
                  <c:v>Glyceryl trinitrate sublingual tablet</c:v>
                </c:pt>
                <c:pt idx="4">
                  <c:v>Isosorbide dinitrate tablet</c:v>
                </c:pt>
                <c:pt idx="5">
                  <c:v>Insulin regular injection</c:v>
                </c:pt>
                <c:pt idx="6">
                  <c:v>Spironolactone tablets</c:v>
                </c:pt>
                <c:pt idx="7">
                  <c:v>Thiazide</c:v>
                </c:pt>
                <c:pt idx="8">
                  <c:v>Salbutamol inhaler</c:v>
                </c:pt>
                <c:pt idx="9">
                  <c:v>ACE inhibitors</c:v>
                </c:pt>
                <c:pt idx="10">
                  <c:v>Epinephrine injection</c:v>
                </c:pt>
                <c:pt idx="11">
                  <c:v>Glibenclamide 5mg cap/tab</c:v>
                </c:pt>
                <c:pt idx="12">
                  <c:v>Aspirin cap/tab</c:v>
                </c:pt>
                <c:pt idx="13">
                  <c:v>Beta blocker</c:v>
                </c:pt>
                <c:pt idx="14">
                  <c:v>Metform in cap/tab</c:v>
                </c:pt>
                <c:pt idx="15">
                  <c:v>Furosimide cap/tab</c:v>
                </c:pt>
                <c:pt idx="16">
                  <c:v>Calcium channel blocker</c:v>
                </c:pt>
                <c:pt idx="17">
                  <c:v>Omeprazole 20 mg cap/tab</c:v>
                </c:pt>
                <c:pt idx="18">
                  <c:v>Predinosolone cap/tab</c:v>
                </c:pt>
                <c:pt idx="19">
                  <c:v>Ibuprofen tablet</c:v>
                </c:pt>
                <c:pt idx="20">
                  <c:v>Glucose 50% injection</c:v>
                </c:pt>
                <c:pt idx="21">
                  <c:v>Hydrocortisone injection</c:v>
                </c:pt>
                <c:pt idx="22">
                  <c:v>Paracetamol tablet</c:v>
                </c:pt>
                <c:pt idx="24">
                  <c:v>Facilities with all items of essential medicines for NCDs</c:v>
                </c:pt>
                <c:pt idx="25">
                  <c:v>Mean availability of the items of essential medicines for NCDs</c:v>
                </c:pt>
              </c:strCache>
            </c:strRef>
          </c:cat>
          <c:val>
            <c:numRef>
              <c:f>'Drugs -  Mean Availability'!$B$363:$B$388</c:f>
              <c:numCache>
                <c:formatCode>0</c:formatCode>
                <c:ptCount val="26"/>
                <c:pt idx="0">
                  <c:v>8</c:v>
                </c:pt>
                <c:pt idx="1">
                  <c:v>8</c:v>
                </c:pt>
                <c:pt idx="2">
                  <c:v>11</c:v>
                </c:pt>
                <c:pt idx="3">
                  <c:v>11</c:v>
                </c:pt>
                <c:pt idx="4">
                  <c:v>13</c:v>
                </c:pt>
                <c:pt idx="5">
                  <c:v>15</c:v>
                </c:pt>
                <c:pt idx="6">
                  <c:v>15</c:v>
                </c:pt>
                <c:pt idx="7">
                  <c:v>18</c:v>
                </c:pt>
                <c:pt idx="8">
                  <c:v>18</c:v>
                </c:pt>
                <c:pt idx="9">
                  <c:v>20</c:v>
                </c:pt>
                <c:pt idx="10">
                  <c:v>21</c:v>
                </c:pt>
                <c:pt idx="11">
                  <c:v>23</c:v>
                </c:pt>
                <c:pt idx="12">
                  <c:v>25</c:v>
                </c:pt>
                <c:pt idx="13">
                  <c:v>27</c:v>
                </c:pt>
                <c:pt idx="14">
                  <c:v>29</c:v>
                </c:pt>
                <c:pt idx="15">
                  <c:v>33</c:v>
                </c:pt>
                <c:pt idx="16">
                  <c:v>38</c:v>
                </c:pt>
                <c:pt idx="17">
                  <c:v>40</c:v>
                </c:pt>
                <c:pt idx="18">
                  <c:v>43</c:v>
                </c:pt>
                <c:pt idx="19">
                  <c:v>47</c:v>
                </c:pt>
                <c:pt idx="20">
                  <c:v>54</c:v>
                </c:pt>
                <c:pt idx="21">
                  <c:v>55</c:v>
                </c:pt>
                <c:pt idx="22">
                  <c:v>64</c:v>
                </c:pt>
                <c:pt idx="24">
                  <c:v>1</c:v>
                </c:pt>
                <c:pt idx="25">
                  <c:v>27.652173913043477</c:v>
                </c:pt>
              </c:numCache>
            </c:numRef>
          </c:val>
          <c:extLst>
            <c:ext xmlns:c16="http://schemas.microsoft.com/office/drawing/2014/chart" uri="{C3380CC4-5D6E-409C-BE32-E72D297353CC}">
              <c16:uniqueId val="{00000004-2F9B-467A-9D66-79908FB7CAD8}"/>
            </c:ext>
          </c:extLst>
        </c:ser>
        <c:dLbls>
          <c:showLegendKey val="0"/>
          <c:showVal val="0"/>
          <c:showCatName val="0"/>
          <c:showSerName val="0"/>
          <c:showPercent val="0"/>
          <c:showBubbleSize val="0"/>
        </c:dLbls>
        <c:gapWidth val="62"/>
        <c:axId val="550383128"/>
        <c:axId val="550383520"/>
      </c:barChart>
      <c:catAx>
        <c:axId val="550383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3520"/>
        <c:crosses val="autoZero"/>
        <c:auto val="1"/>
        <c:lblAlgn val="ctr"/>
        <c:lblOffset val="100"/>
        <c:noMultiLvlLbl val="0"/>
      </c:catAx>
      <c:valAx>
        <c:axId val="550383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312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FFC000"/>
            </a:solidFill>
            <a:ln>
              <a:noFill/>
            </a:ln>
            <a:effectLst/>
          </c:spPr>
          <c:invertIfNegative val="0"/>
          <c:dPt>
            <c:idx val="23"/>
            <c:invertIfNegative val="0"/>
            <c:bubble3D val="0"/>
            <c:spPr>
              <a:pattFill prst="wdDnDiag">
                <a:fgClr>
                  <a:srgbClr val="FFC000"/>
                </a:fgClr>
                <a:bgClr>
                  <a:schemeClr val="bg1"/>
                </a:bgClr>
              </a:pattFill>
              <a:ln>
                <a:solidFill>
                  <a:schemeClr val="accent1"/>
                </a:solidFill>
              </a:ln>
              <a:effectLst/>
            </c:spPr>
            <c:extLst>
              <c:ext xmlns:c16="http://schemas.microsoft.com/office/drawing/2014/chart" uri="{C3380CC4-5D6E-409C-BE32-E72D297353CC}">
                <c16:uniqueId val="{00000001-246A-4AEC-832B-5FA9A5003335}"/>
              </c:ext>
            </c:extLst>
          </c:dPt>
          <c:cat>
            <c:multiLvlStrRef>
              <c:f>'Drugs -  Mean Availability'!$A$397:$B$420</c:f>
              <c:multiLvlStrCache>
                <c:ptCount val="24"/>
                <c:lvl>
                  <c:pt idx="0">
                    <c:v>Regional Hospital</c:v>
                  </c:pt>
                  <c:pt idx="1">
                    <c:v>General Hospital</c:v>
                  </c:pt>
                  <c:pt idx="2">
                    <c:v>HC IV</c:v>
                  </c:pt>
                  <c:pt idx="3">
                    <c:v>HC III</c:v>
                  </c:pt>
                  <c:pt idx="4">
                    <c:v>HC II</c:v>
                  </c:pt>
                  <c:pt idx="6">
                    <c:v>Public/Govt</c:v>
                  </c:pt>
                  <c:pt idx="7">
                    <c:v>Private</c:v>
                  </c:pt>
                  <c:pt idx="9">
                    <c:v>Urban</c:v>
                  </c:pt>
                  <c:pt idx="10">
                    <c:v>Rural</c:v>
                  </c:pt>
                  <c:pt idx="12">
                    <c:v>Karamoja</c:v>
                  </c:pt>
                  <c:pt idx="13">
                    <c:v>North East</c:v>
                  </c:pt>
                  <c:pt idx="14">
                    <c:v>Mid-North</c:v>
                  </c:pt>
                  <c:pt idx="15">
                    <c:v>Mid East</c:v>
                  </c:pt>
                  <c:pt idx="16">
                    <c:v>West Nile</c:v>
                  </c:pt>
                  <c:pt idx="17">
                    <c:v>Central2</c:v>
                  </c:pt>
                  <c:pt idx="18">
                    <c:v>South West</c:v>
                  </c:pt>
                  <c:pt idx="19">
                    <c:v>Central1</c:v>
                  </c:pt>
                  <c:pt idx="20">
                    <c:v>Mid-West</c:v>
                  </c:pt>
                  <c:pt idx="21">
                    <c:v>Kampala</c:v>
                  </c:pt>
                  <c:pt idx="23">
                    <c:v>National</c:v>
                  </c:pt>
                </c:lvl>
                <c:lvl>
                  <c:pt idx="0">
                    <c:v>Facility Level</c:v>
                  </c:pt>
                  <c:pt idx="6">
                    <c:v>Ownership</c:v>
                  </c:pt>
                  <c:pt idx="9">
                    <c:v>Location</c:v>
                  </c:pt>
                  <c:pt idx="12">
                    <c:v>Health Region</c:v>
                  </c:pt>
                  <c:pt idx="23">
                    <c:v>Uganda</c:v>
                  </c:pt>
                </c:lvl>
              </c:multiLvlStrCache>
            </c:multiLvlStrRef>
          </c:cat>
          <c:val>
            <c:numRef>
              <c:f>'Drugs -  Mean Availability'!$C$397:$C$420</c:f>
              <c:numCache>
                <c:formatCode>0</c:formatCode>
                <c:ptCount val="24"/>
                <c:pt idx="0">
                  <c:v>52.795029999999997</c:v>
                </c:pt>
                <c:pt idx="1">
                  <c:v>59.742350000000002</c:v>
                </c:pt>
                <c:pt idx="2">
                  <c:v>42.278860000000002</c:v>
                </c:pt>
                <c:pt idx="3">
                  <c:v>30.43478</c:v>
                </c:pt>
                <c:pt idx="4">
                  <c:v>20.508610000000001</c:v>
                </c:pt>
                <c:pt idx="6">
                  <c:v>13.158620000000001</c:v>
                </c:pt>
                <c:pt idx="7">
                  <c:v>36.47175</c:v>
                </c:pt>
                <c:pt idx="9">
                  <c:v>35.217059999999996</c:v>
                </c:pt>
                <c:pt idx="10">
                  <c:v>17.742290000000001</c:v>
                </c:pt>
                <c:pt idx="12">
                  <c:v>12.913043478260869</c:v>
                </c:pt>
                <c:pt idx="13">
                  <c:v>17</c:v>
                </c:pt>
                <c:pt idx="14">
                  <c:v>18.130434782608695</c:v>
                </c:pt>
                <c:pt idx="15">
                  <c:v>18.782608695652176</c:v>
                </c:pt>
                <c:pt idx="16">
                  <c:v>22.695652173913043</c:v>
                </c:pt>
                <c:pt idx="17">
                  <c:v>23.521739130434781</c:v>
                </c:pt>
                <c:pt idx="18">
                  <c:v>24.347826086956523</c:v>
                </c:pt>
                <c:pt idx="19">
                  <c:v>25.695652173913043</c:v>
                </c:pt>
                <c:pt idx="20">
                  <c:v>35</c:v>
                </c:pt>
                <c:pt idx="21">
                  <c:v>42</c:v>
                </c:pt>
                <c:pt idx="23">
                  <c:v>27.652173913043477</c:v>
                </c:pt>
              </c:numCache>
            </c:numRef>
          </c:val>
          <c:extLst>
            <c:ext xmlns:c16="http://schemas.microsoft.com/office/drawing/2014/chart" uri="{C3380CC4-5D6E-409C-BE32-E72D297353CC}">
              <c16:uniqueId val="{00000002-246A-4AEC-832B-5FA9A5003335}"/>
            </c:ext>
          </c:extLst>
        </c:ser>
        <c:dLbls>
          <c:showLegendKey val="0"/>
          <c:showVal val="0"/>
          <c:showCatName val="0"/>
          <c:showSerName val="0"/>
          <c:showPercent val="0"/>
          <c:showBubbleSize val="0"/>
        </c:dLbls>
        <c:gapWidth val="60"/>
        <c:overlap val="-27"/>
        <c:axId val="550384696"/>
        <c:axId val="550385088"/>
      </c:barChart>
      <c:catAx>
        <c:axId val="550384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5088"/>
        <c:crosses val="autoZero"/>
        <c:auto val="1"/>
        <c:lblAlgn val="ctr"/>
        <c:lblOffset val="100"/>
        <c:noMultiLvlLbl val="0"/>
      </c:catAx>
      <c:valAx>
        <c:axId val="55038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469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92D050"/>
            </a:solidFill>
            <a:ln>
              <a:noFill/>
            </a:ln>
            <a:effectLst/>
          </c:spPr>
          <c:invertIfNegative val="0"/>
          <c:dPt>
            <c:idx val="10"/>
            <c:invertIfNegative val="0"/>
            <c:bubble3D val="0"/>
            <c:spPr>
              <a:pattFill prst="wdDnDiag">
                <a:fgClr>
                  <a:srgbClr val="92D050"/>
                </a:fgClr>
                <a:bgClr>
                  <a:schemeClr val="bg1"/>
                </a:bgClr>
              </a:pattFill>
              <a:ln>
                <a:solidFill>
                  <a:schemeClr val="accent1"/>
                </a:solidFill>
              </a:ln>
              <a:effectLst/>
            </c:spPr>
            <c:extLst>
              <c:ext xmlns:c16="http://schemas.microsoft.com/office/drawing/2014/chart" uri="{C3380CC4-5D6E-409C-BE32-E72D297353CC}">
                <c16:uniqueId val="{00000001-C033-4690-AC4C-C4233B3DB564}"/>
              </c:ext>
            </c:extLst>
          </c:dPt>
          <c:dPt>
            <c:idx val="11"/>
            <c:invertIfNegative val="0"/>
            <c:bubble3D val="0"/>
            <c:spPr>
              <a:pattFill prst="wdDnDiag">
                <a:fgClr>
                  <a:srgbClr val="92D050"/>
                </a:fgClr>
                <a:bgClr>
                  <a:schemeClr val="bg1"/>
                </a:bgClr>
              </a:pattFill>
              <a:ln>
                <a:solidFill>
                  <a:schemeClr val="accent1"/>
                </a:solidFill>
              </a:ln>
              <a:effectLst/>
            </c:spPr>
            <c:extLst>
              <c:ext xmlns:c16="http://schemas.microsoft.com/office/drawing/2014/chart" uri="{C3380CC4-5D6E-409C-BE32-E72D297353CC}">
                <c16:uniqueId val="{00000003-C033-4690-AC4C-C4233B3DB5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Availability'!$A$425:$A$436</c:f>
              <c:strCache>
                <c:ptCount val="12"/>
                <c:pt idx="0">
                  <c:v>Female condoms</c:v>
                </c:pt>
                <c:pt idx="1">
                  <c:v>Progestin-only contraceptive pills</c:v>
                </c:pt>
                <c:pt idx="2">
                  <c:v>Emergency contraceptive pill</c:v>
                </c:pt>
                <c:pt idx="3">
                  <c:v>Intrauterine contraceptive device</c:v>
                </c:pt>
                <c:pt idx="4">
                  <c:v>Implant</c:v>
                </c:pt>
                <c:pt idx="5">
                  <c:v>Combined estrogen progesterone injectable contraceptives</c:v>
                </c:pt>
                <c:pt idx="6">
                  <c:v>Progestin-only injectable contraceptives"</c:v>
                </c:pt>
                <c:pt idx="7">
                  <c:v>Combined estrogen progesterone oral contraceptive pills</c:v>
                </c:pt>
                <c:pt idx="8">
                  <c:v>Male condoms</c:v>
                </c:pt>
                <c:pt idx="10">
                  <c:v>Facilities with all items of essential reproductive health meds</c:v>
                </c:pt>
                <c:pt idx="11">
                  <c:v>Mean availability of the items of essential reproductive health meds</c:v>
                </c:pt>
              </c:strCache>
            </c:strRef>
          </c:cat>
          <c:val>
            <c:numRef>
              <c:f>'Drugs -  Mean Availability'!$B$425:$B$436</c:f>
              <c:numCache>
                <c:formatCode>0</c:formatCode>
                <c:ptCount val="12"/>
                <c:pt idx="0">
                  <c:v>26</c:v>
                </c:pt>
                <c:pt idx="1">
                  <c:v>28</c:v>
                </c:pt>
                <c:pt idx="2">
                  <c:v>32</c:v>
                </c:pt>
                <c:pt idx="3">
                  <c:v>34</c:v>
                </c:pt>
                <c:pt idx="4">
                  <c:v>40</c:v>
                </c:pt>
                <c:pt idx="5">
                  <c:v>43</c:v>
                </c:pt>
                <c:pt idx="6">
                  <c:v>50</c:v>
                </c:pt>
                <c:pt idx="7">
                  <c:v>57</c:v>
                </c:pt>
                <c:pt idx="8">
                  <c:v>57</c:v>
                </c:pt>
                <c:pt idx="10">
                  <c:v>5</c:v>
                </c:pt>
                <c:pt idx="11">
                  <c:v>40.444444444444443</c:v>
                </c:pt>
              </c:numCache>
            </c:numRef>
          </c:val>
          <c:extLst>
            <c:ext xmlns:c16="http://schemas.microsoft.com/office/drawing/2014/chart" uri="{C3380CC4-5D6E-409C-BE32-E72D297353CC}">
              <c16:uniqueId val="{00000004-C033-4690-AC4C-C4233B3DB564}"/>
            </c:ext>
          </c:extLst>
        </c:ser>
        <c:dLbls>
          <c:showLegendKey val="0"/>
          <c:showVal val="0"/>
          <c:showCatName val="0"/>
          <c:showSerName val="0"/>
          <c:showPercent val="0"/>
          <c:showBubbleSize val="0"/>
        </c:dLbls>
        <c:gapWidth val="62"/>
        <c:axId val="550385480"/>
        <c:axId val="550385872"/>
      </c:barChart>
      <c:catAx>
        <c:axId val="550385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5872"/>
        <c:crosses val="autoZero"/>
        <c:auto val="1"/>
        <c:lblAlgn val="ctr"/>
        <c:lblOffset val="100"/>
        <c:noMultiLvlLbl val="0"/>
      </c:catAx>
      <c:valAx>
        <c:axId val="5503858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548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92D050"/>
            </a:solidFill>
            <a:ln>
              <a:noFill/>
            </a:ln>
            <a:effectLst/>
          </c:spPr>
          <c:invertIfNegative val="0"/>
          <c:dPt>
            <c:idx val="23"/>
            <c:invertIfNegative val="0"/>
            <c:bubble3D val="0"/>
            <c:spPr>
              <a:pattFill prst="wdDnDiag">
                <a:fgClr>
                  <a:srgbClr val="92D050"/>
                </a:fgClr>
                <a:bgClr>
                  <a:schemeClr val="bg1"/>
                </a:bgClr>
              </a:pattFill>
              <a:ln>
                <a:solidFill>
                  <a:schemeClr val="accent1"/>
                </a:solidFill>
              </a:ln>
              <a:effectLst/>
            </c:spPr>
            <c:extLst>
              <c:ext xmlns:c16="http://schemas.microsoft.com/office/drawing/2014/chart" uri="{C3380CC4-5D6E-409C-BE32-E72D297353CC}">
                <c16:uniqueId val="{00000001-68EB-4E53-B21E-FA6F5CBFBF31}"/>
              </c:ext>
            </c:extLst>
          </c:dPt>
          <c:cat>
            <c:multiLvlStrRef>
              <c:f>'Drugs -  Mean Availability'!$A$456:$B$479</c:f>
              <c:multiLvlStrCache>
                <c:ptCount val="24"/>
                <c:lvl>
                  <c:pt idx="0">
                    <c:v>Regional Hospital</c:v>
                  </c:pt>
                  <c:pt idx="1">
                    <c:v>General Hospital</c:v>
                  </c:pt>
                  <c:pt idx="2">
                    <c:v>HC IV</c:v>
                  </c:pt>
                  <c:pt idx="3">
                    <c:v>HC III</c:v>
                  </c:pt>
                  <c:pt idx="4">
                    <c:v>HC II</c:v>
                  </c:pt>
                  <c:pt idx="6">
                    <c:v>Public/Government</c:v>
                  </c:pt>
                  <c:pt idx="7">
                    <c:v>Private</c:v>
                  </c:pt>
                  <c:pt idx="9">
                    <c:v>Urban</c:v>
                  </c:pt>
                  <c:pt idx="10">
                    <c:v>Rural</c:v>
                  </c:pt>
                  <c:pt idx="12">
                    <c:v>North East</c:v>
                  </c:pt>
                  <c:pt idx="13">
                    <c:v>West Nile</c:v>
                  </c:pt>
                  <c:pt idx="14">
                    <c:v>South West</c:v>
                  </c:pt>
                  <c:pt idx="15">
                    <c:v>Karamoja</c:v>
                  </c:pt>
                  <c:pt idx="16">
                    <c:v>Kampala</c:v>
                  </c:pt>
                  <c:pt idx="17">
                    <c:v>Central2</c:v>
                  </c:pt>
                  <c:pt idx="18">
                    <c:v>Mid East</c:v>
                  </c:pt>
                  <c:pt idx="19">
                    <c:v>Mid-West</c:v>
                  </c:pt>
                  <c:pt idx="20">
                    <c:v>Mid-North</c:v>
                  </c:pt>
                  <c:pt idx="21">
                    <c:v>Central1</c:v>
                  </c:pt>
                  <c:pt idx="23">
                    <c:v>National</c:v>
                  </c:pt>
                </c:lvl>
                <c:lvl>
                  <c:pt idx="0">
                    <c:v>Facility Level</c:v>
                  </c:pt>
                  <c:pt idx="6">
                    <c:v>Ownership</c:v>
                  </c:pt>
                  <c:pt idx="9">
                    <c:v>Location</c:v>
                  </c:pt>
                  <c:pt idx="12">
                    <c:v>Health Region</c:v>
                  </c:pt>
                  <c:pt idx="23">
                    <c:v>Uganda</c:v>
                  </c:pt>
                </c:lvl>
              </c:multiLvlStrCache>
            </c:multiLvlStrRef>
          </c:cat>
          <c:val>
            <c:numRef>
              <c:f>'Drugs -  Mean Availability'!$C$456:$C$479</c:f>
              <c:numCache>
                <c:formatCode>0</c:formatCode>
                <c:ptCount val="24"/>
                <c:pt idx="0">
                  <c:v>61.904760000000003</c:v>
                </c:pt>
                <c:pt idx="1">
                  <c:v>49.794240000000002</c:v>
                </c:pt>
                <c:pt idx="2">
                  <c:v>55.172409999999999</c:v>
                </c:pt>
                <c:pt idx="3">
                  <c:v>41.666670000000003</c:v>
                </c:pt>
                <c:pt idx="4">
                  <c:v>33.54298</c:v>
                </c:pt>
                <c:pt idx="6">
                  <c:v>38.217019999999998</c:v>
                </c:pt>
                <c:pt idx="7">
                  <c:v>36.499560000000002</c:v>
                </c:pt>
                <c:pt idx="9">
                  <c:v>34.521549999999998</c:v>
                </c:pt>
                <c:pt idx="10">
                  <c:v>39.449770000000001</c:v>
                </c:pt>
                <c:pt idx="12">
                  <c:v>24.111111111111111</c:v>
                </c:pt>
                <c:pt idx="13">
                  <c:v>24.111111111111111</c:v>
                </c:pt>
                <c:pt idx="14">
                  <c:v>26.333333333333332</c:v>
                </c:pt>
                <c:pt idx="15">
                  <c:v>32.666666666666664</c:v>
                </c:pt>
                <c:pt idx="16">
                  <c:v>35.111111111111114</c:v>
                </c:pt>
                <c:pt idx="17">
                  <c:v>40.333333333333336</c:v>
                </c:pt>
                <c:pt idx="18">
                  <c:v>41.111111111111114</c:v>
                </c:pt>
                <c:pt idx="19">
                  <c:v>49</c:v>
                </c:pt>
                <c:pt idx="20">
                  <c:v>52.444444444444443</c:v>
                </c:pt>
                <c:pt idx="21">
                  <c:v>67.555555555555557</c:v>
                </c:pt>
                <c:pt idx="23">
                  <c:v>40.444444444444443</c:v>
                </c:pt>
              </c:numCache>
            </c:numRef>
          </c:val>
          <c:extLst>
            <c:ext xmlns:c16="http://schemas.microsoft.com/office/drawing/2014/chart" uri="{C3380CC4-5D6E-409C-BE32-E72D297353CC}">
              <c16:uniqueId val="{00000002-68EB-4E53-B21E-FA6F5CBFBF31}"/>
            </c:ext>
          </c:extLst>
        </c:ser>
        <c:dLbls>
          <c:showLegendKey val="0"/>
          <c:showVal val="0"/>
          <c:showCatName val="0"/>
          <c:showSerName val="0"/>
          <c:showPercent val="0"/>
          <c:showBubbleSize val="0"/>
        </c:dLbls>
        <c:gapWidth val="60"/>
        <c:overlap val="-27"/>
        <c:axId val="550387048"/>
        <c:axId val="550387440"/>
      </c:barChart>
      <c:catAx>
        <c:axId val="550387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7440"/>
        <c:crosses val="autoZero"/>
        <c:auto val="1"/>
        <c:lblAlgn val="ctr"/>
        <c:lblOffset val="100"/>
        <c:noMultiLvlLbl val="0"/>
      </c:catAx>
      <c:valAx>
        <c:axId val="550387440"/>
        <c:scaling>
          <c:orientation val="minMax"/>
          <c:max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704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lumMod val="40000"/>
                <a:lumOff val="60000"/>
              </a:schemeClr>
            </a:solidFill>
            <a:ln>
              <a:noFill/>
            </a:ln>
            <a:effectLst/>
          </c:spPr>
          <c:invertIfNegative val="0"/>
          <c:dPt>
            <c:idx val="23"/>
            <c:invertIfNegative val="0"/>
            <c:bubble3D val="0"/>
            <c:spPr>
              <a:pattFill prst="wdDnDiag">
                <a:fgClr>
                  <a:schemeClr val="accent2">
                    <a:lumMod val="40000"/>
                    <a:lumOff val="60000"/>
                  </a:schemeClr>
                </a:fgClr>
                <a:bgClr>
                  <a:schemeClr val="bg1"/>
                </a:bgClr>
              </a:pattFill>
              <a:ln>
                <a:solidFill>
                  <a:schemeClr val="accent1"/>
                </a:solidFill>
              </a:ln>
              <a:effectLst/>
            </c:spPr>
            <c:extLst>
              <c:ext xmlns:c16="http://schemas.microsoft.com/office/drawing/2014/chart" uri="{C3380CC4-5D6E-409C-BE32-E72D297353CC}">
                <c16:uniqueId val="{00000001-9213-40CE-8F41-7573030721C7}"/>
              </c:ext>
            </c:extLst>
          </c:dPt>
          <c:cat>
            <c:multiLvlStrRef>
              <c:f>'Drugs -  Mean Availability'!$A$518:$B$541</c:f>
              <c:multiLvlStrCache>
                <c:ptCount val="24"/>
                <c:lvl>
                  <c:pt idx="0">
                    <c:v>Regional Hospital</c:v>
                  </c:pt>
                  <c:pt idx="1">
                    <c:v>General Hospital</c:v>
                  </c:pt>
                  <c:pt idx="2">
                    <c:v>HC IV</c:v>
                  </c:pt>
                  <c:pt idx="3">
                    <c:v>HC III</c:v>
                  </c:pt>
                  <c:pt idx="4">
                    <c:v>HC II</c:v>
                  </c:pt>
                  <c:pt idx="6">
                    <c:v>Public/Govt</c:v>
                  </c:pt>
                  <c:pt idx="7">
                    <c:v>Private</c:v>
                  </c:pt>
                  <c:pt idx="9">
                    <c:v>Urban</c:v>
                  </c:pt>
                  <c:pt idx="10">
                    <c:v>Rural</c:v>
                  </c:pt>
                  <c:pt idx="12">
                    <c:v>Central1</c:v>
                  </c:pt>
                  <c:pt idx="13">
                    <c:v>Mid East</c:v>
                  </c:pt>
                  <c:pt idx="14">
                    <c:v>Mid-North</c:v>
                  </c:pt>
                  <c:pt idx="15">
                    <c:v>Karamoja</c:v>
                  </c:pt>
                  <c:pt idx="16">
                    <c:v>Central2</c:v>
                  </c:pt>
                  <c:pt idx="17">
                    <c:v>South West</c:v>
                  </c:pt>
                  <c:pt idx="18">
                    <c:v>North East</c:v>
                  </c:pt>
                  <c:pt idx="19">
                    <c:v>Kampala</c:v>
                  </c:pt>
                  <c:pt idx="20">
                    <c:v>West Nile</c:v>
                  </c:pt>
                  <c:pt idx="21">
                    <c:v>Mid-West</c:v>
                  </c:pt>
                  <c:pt idx="23">
                    <c:v>National</c:v>
                  </c:pt>
                </c:lvl>
                <c:lvl>
                  <c:pt idx="0">
                    <c:v>Facility Level</c:v>
                  </c:pt>
                  <c:pt idx="6">
                    <c:v>Ownership</c:v>
                  </c:pt>
                  <c:pt idx="9">
                    <c:v>Location</c:v>
                  </c:pt>
                  <c:pt idx="12">
                    <c:v>Health Region</c:v>
                  </c:pt>
                  <c:pt idx="23">
                    <c:v>Uganda</c:v>
                  </c:pt>
                </c:lvl>
              </c:multiLvlStrCache>
            </c:multiLvlStrRef>
          </c:cat>
          <c:val>
            <c:numRef>
              <c:f>'Drugs -  Mean Availability'!$C$518:$C$541</c:f>
              <c:numCache>
                <c:formatCode>0</c:formatCode>
                <c:ptCount val="24"/>
                <c:pt idx="0">
                  <c:v>65</c:v>
                </c:pt>
                <c:pt idx="1">
                  <c:v>67.962959999999995</c:v>
                </c:pt>
                <c:pt idx="2">
                  <c:v>59.655169999999998</c:v>
                </c:pt>
                <c:pt idx="3">
                  <c:v>50.795450000000002</c:v>
                </c:pt>
                <c:pt idx="4">
                  <c:v>29.528300000000002</c:v>
                </c:pt>
                <c:pt idx="6">
                  <c:v>30.96658</c:v>
                </c:pt>
                <c:pt idx="7">
                  <c:v>43.587580000000003</c:v>
                </c:pt>
                <c:pt idx="9">
                  <c:v>41.696829999999999</c:v>
                </c:pt>
                <c:pt idx="10">
                  <c:v>34.366959999999999</c:v>
                </c:pt>
                <c:pt idx="12">
                  <c:v>38.571428571428569</c:v>
                </c:pt>
                <c:pt idx="13">
                  <c:v>38.80952380952381</c:v>
                </c:pt>
                <c:pt idx="14">
                  <c:v>39.61904761904762</c:v>
                </c:pt>
                <c:pt idx="15">
                  <c:v>40.047619047619051</c:v>
                </c:pt>
                <c:pt idx="16">
                  <c:v>40.666666666666664</c:v>
                </c:pt>
                <c:pt idx="17">
                  <c:v>42.095238095238095</c:v>
                </c:pt>
                <c:pt idx="18">
                  <c:v>43.714285714285715</c:v>
                </c:pt>
                <c:pt idx="19">
                  <c:v>46.571428571428569</c:v>
                </c:pt>
                <c:pt idx="20">
                  <c:v>47.047619047619051</c:v>
                </c:pt>
                <c:pt idx="21">
                  <c:v>55.571428571428569</c:v>
                </c:pt>
                <c:pt idx="23">
                  <c:v>43.095238095238095</c:v>
                </c:pt>
              </c:numCache>
            </c:numRef>
          </c:val>
          <c:extLst>
            <c:ext xmlns:c16="http://schemas.microsoft.com/office/drawing/2014/chart" uri="{C3380CC4-5D6E-409C-BE32-E72D297353CC}">
              <c16:uniqueId val="{00000002-9213-40CE-8F41-7573030721C7}"/>
            </c:ext>
          </c:extLst>
        </c:ser>
        <c:dLbls>
          <c:showLegendKey val="0"/>
          <c:showVal val="0"/>
          <c:showCatName val="0"/>
          <c:showSerName val="0"/>
          <c:showPercent val="0"/>
          <c:showBubbleSize val="0"/>
        </c:dLbls>
        <c:gapWidth val="60"/>
        <c:overlap val="-27"/>
        <c:axId val="550388224"/>
        <c:axId val="553144232"/>
      </c:barChart>
      <c:catAx>
        <c:axId val="550388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4232"/>
        <c:crosses val="autoZero"/>
        <c:auto val="1"/>
        <c:lblAlgn val="ctr"/>
        <c:lblOffset val="100"/>
        <c:noMultiLvlLbl val="0"/>
      </c:catAx>
      <c:valAx>
        <c:axId val="553144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38822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2">
                <a:lumMod val="40000"/>
                <a:lumOff val="60000"/>
              </a:schemeClr>
            </a:solidFill>
            <a:ln>
              <a:noFill/>
            </a:ln>
            <a:effectLst/>
          </c:spPr>
          <c:invertIfNegative val="0"/>
          <c:dPt>
            <c:idx val="22"/>
            <c:invertIfNegative val="0"/>
            <c:bubble3D val="0"/>
            <c:spPr>
              <a:pattFill prst="wdDnDiag">
                <a:fgClr>
                  <a:schemeClr val="accent2">
                    <a:lumMod val="40000"/>
                    <a:lumOff val="60000"/>
                  </a:schemeClr>
                </a:fgClr>
                <a:bgClr>
                  <a:schemeClr val="bg1"/>
                </a:bgClr>
              </a:pattFill>
              <a:ln>
                <a:solidFill>
                  <a:schemeClr val="tx1"/>
                </a:solidFill>
              </a:ln>
              <a:effectLst/>
            </c:spPr>
            <c:extLst>
              <c:ext xmlns:c16="http://schemas.microsoft.com/office/drawing/2014/chart" uri="{C3380CC4-5D6E-409C-BE32-E72D297353CC}">
                <c16:uniqueId val="{00000001-F384-4D9F-AF2C-8EB091BE1034}"/>
              </c:ext>
            </c:extLst>
          </c:dPt>
          <c:dPt>
            <c:idx val="23"/>
            <c:invertIfNegative val="0"/>
            <c:bubble3D val="0"/>
            <c:spPr>
              <a:pattFill prst="wdDnDiag">
                <a:fgClr>
                  <a:schemeClr val="accent2">
                    <a:lumMod val="40000"/>
                    <a:lumOff val="60000"/>
                  </a:schemeClr>
                </a:fgClr>
                <a:bgClr>
                  <a:schemeClr val="bg1"/>
                </a:bgClr>
              </a:pattFill>
              <a:ln>
                <a:solidFill>
                  <a:schemeClr val="accent1"/>
                </a:solidFill>
              </a:ln>
              <a:effectLst/>
            </c:spPr>
            <c:extLst>
              <c:ext xmlns:c16="http://schemas.microsoft.com/office/drawing/2014/chart" uri="{C3380CC4-5D6E-409C-BE32-E72D297353CC}">
                <c16:uniqueId val="{00000003-F384-4D9F-AF2C-8EB091BE10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Availability'!$A$484:$A$507</c:f>
              <c:strCache>
                <c:ptCount val="24"/>
                <c:pt idx="0">
                  <c:v>Betamethasone injection</c:v>
                </c:pt>
                <c:pt idx="1">
                  <c:v>Calcuim gluconate injection</c:v>
                </c:pt>
                <c:pt idx="2">
                  <c:v>Methyldopa tablet</c:v>
                </c:pt>
                <c:pt idx="3">
                  <c:v>Hydralazine injection</c:v>
                </c:pt>
                <c:pt idx="4">
                  <c:v>Cefixime cap/tab</c:v>
                </c:pt>
                <c:pt idx="5">
                  <c:v>Dexamethasone injection</c:v>
                </c:pt>
                <c:pt idx="6">
                  <c:v>Magnesium sulphate injectable</c:v>
                </c:pt>
                <c:pt idx="7">
                  <c:v>Misoprostol 200ug tablets</c:v>
                </c:pt>
                <c:pt idx="8">
                  <c:v>Azithromycin cap/tab or oral liquid</c:v>
                </c:pt>
                <c:pt idx="9">
                  <c:v>Metronidazole injection</c:v>
                </c:pt>
                <c:pt idx="10">
                  <c:v>Ampicillin powder for injection</c:v>
                </c:pt>
                <c:pt idx="11">
                  <c:v>Benzathine benzylpenicillin powder for injection</c:v>
                </c:pt>
                <c:pt idx="12">
                  <c:v>Oxytocin injection</c:v>
                </c:pt>
                <c:pt idx="13">
                  <c:v>Sodium chloride injectable solution</c:v>
                </c:pt>
                <c:pt idx="14">
                  <c:v>Nifedipine cap/tab</c:v>
                </c:pt>
                <c:pt idx="15">
                  <c:v>Gentamicin injection</c:v>
                </c:pt>
                <c:pt idx="16">
                  <c:v>Iron tablets</c:v>
                </c:pt>
                <c:pt idx="17">
                  <c:v>Iron and folic acid combined tablets</c:v>
                </c:pt>
                <c:pt idx="18">
                  <c:v>Tetanus toxoid vaccine</c:v>
                </c:pt>
                <c:pt idx="19">
                  <c:v>Folic acid tablets</c:v>
                </c:pt>
                <c:pt idx="20">
                  <c:v>Oxytocin in cold storage</c:v>
                </c:pt>
                <c:pt idx="22">
                  <c:v>Facilities with all items of essential medicines for mothers</c:v>
                </c:pt>
                <c:pt idx="23">
                  <c:v>Mean availability of the items of essential medicines for mothers</c:v>
                </c:pt>
              </c:strCache>
            </c:strRef>
          </c:cat>
          <c:val>
            <c:numRef>
              <c:f>'Drugs -  Mean Availability'!$B$484:$B$507</c:f>
              <c:numCache>
                <c:formatCode>0</c:formatCode>
                <c:ptCount val="24"/>
                <c:pt idx="0">
                  <c:v>14</c:v>
                </c:pt>
                <c:pt idx="1">
                  <c:v>20</c:v>
                </c:pt>
                <c:pt idx="2">
                  <c:v>20</c:v>
                </c:pt>
                <c:pt idx="3">
                  <c:v>24</c:v>
                </c:pt>
                <c:pt idx="4">
                  <c:v>25</c:v>
                </c:pt>
                <c:pt idx="5">
                  <c:v>27</c:v>
                </c:pt>
                <c:pt idx="6">
                  <c:v>31</c:v>
                </c:pt>
                <c:pt idx="7">
                  <c:v>32</c:v>
                </c:pt>
                <c:pt idx="8">
                  <c:v>33</c:v>
                </c:pt>
                <c:pt idx="9">
                  <c:v>34</c:v>
                </c:pt>
                <c:pt idx="10">
                  <c:v>45</c:v>
                </c:pt>
                <c:pt idx="11">
                  <c:v>48</c:v>
                </c:pt>
                <c:pt idx="12">
                  <c:v>50</c:v>
                </c:pt>
                <c:pt idx="13">
                  <c:v>51</c:v>
                </c:pt>
                <c:pt idx="14">
                  <c:v>53</c:v>
                </c:pt>
                <c:pt idx="15">
                  <c:v>58</c:v>
                </c:pt>
                <c:pt idx="16">
                  <c:v>59</c:v>
                </c:pt>
                <c:pt idx="17">
                  <c:v>61</c:v>
                </c:pt>
                <c:pt idx="18">
                  <c:v>64</c:v>
                </c:pt>
                <c:pt idx="19">
                  <c:v>70</c:v>
                </c:pt>
                <c:pt idx="20">
                  <c:v>86</c:v>
                </c:pt>
                <c:pt idx="22">
                  <c:v>3</c:v>
                </c:pt>
                <c:pt idx="23">
                  <c:v>43.095238095238095</c:v>
                </c:pt>
              </c:numCache>
            </c:numRef>
          </c:val>
          <c:extLst>
            <c:ext xmlns:c16="http://schemas.microsoft.com/office/drawing/2014/chart" uri="{C3380CC4-5D6E-409C-BE32-E72D297353CC}">
              <c16:uniqueId val="{00000004-F384-4D9F-AF2C-8EB091BE1034}"/>
            </c:ext>
          </c:extLst>
        </c:ser>
        <c:dLbls>
          <c:showLegendKey val="0"/>
          <c:showVal val="0"/>
          <c:showCatName val="0"/>
          <c:showSerName val="0"/>
          <c:showPercent val="0"/>
          <c:showBubbleSize val="0"/>
        </c:dLbls>
        <c:gapWidth val="62"/>
        <c:axId val="553145408"/>
        <c:axId val="553145800"/>
      </c:barChart>
      <c:catAx>
        <c:axId val="553145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5800"/>
        <c:crosses val="autoZero"/>
        <c:auto val="1"/>
        <c:lblAlgn val="ctr"/>
        <c:lblOffset val="100"/>
        <c:noMultiLvlLbl val="0"/>
      </c:catAx>
      <c:valAx>
        <c:axId val="553145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540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2">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'Drugs -  Mean Availability'!$A$546:$A$553</c:f>
              <c:strCache>
                <c:ptCount val="8"/>
                <c:pt idx="0">
                  <c:v>Gentamicin injection</c:v>
                </c:pt>
                <c:pt idx="1">
                  <c:v>Oxytocin injection</c:v>
                </c:pt>
                <c:pt idx="2">
                  <c:v>Procaine benzylpenicillin injection</c:v>
                </c:pt>
                <c:pt idx="3">
                  <c:v>Ceftriaxone injection</c:v>
                </c:pt>
                <c:pt idx="4">
                  <c:v>Misoprostol 200ug tablets</c:v>
                </c:pt>
                <c:pt idx="5">
                  <c:v>Magnesium sulphate injection</c:v>
                </c:pt>
                <c:pt idx="6">
                  <c:v>Dexamethasone injection</c:v>
                </c:pt>
                <c:pt idx="7">
                  <c:v>Betamethasone injection</c:v>
                </c:pt>
              </c:strCache>
            </c:strRef>
          </c:cat>
          <c:val>
            <c:numRef>
              <c:f>'Drugs -  Mean Availability'!$B$546:$B$553</c:f>
              <c:numCache>
                <c:formatCode>0</c:formatCode>
                <c:ptCount val="8"/>
                <c:pt idx="0">
                  <c:v>51</c:v>
                </c:pt>
                <c:pt idx="1">
                  <c:v>54</c:v>
                </c:pt>
                <c:pt idx="2">
                  <c:v>60</c:v>
                </c:pt>
                <c:pt idx="3">
                  <c:v>65</c:v>
                </c:pt>
                <c:pt idx="4">
                  <c:v>70</c:v>
                </c:pt>
                <c:pt idx="5">
                  <c:v>73</c:v>
                </c:pt>
                <c:pt idx="6">
                  <c:v>78</c:v>
                </c:pt>
                <c:pt idx="7">
                  <c:v>92</c:v>
                </c:pt>
              </c:numCache>
            </c:numRef>
          </c:val>
          <c:extLst>
            <c:ext xmlns:c16="http://schemas.microsoft.com/office/drawing/2014/chart" uri="{C3380CC4-5D6E-409C-BE32-E72D297353CC}">
              <c16:uniqueId val="{00000000-0601-4C12-A0CE-9E183DFBD75C}"/>
            </c:ext>
          </c:extLst>
        </c:ser>
        <c:dLbls>
          <c:showLegendKey val="0"/>
          <c:showVal val="0"/>
          <c:showCatName val="0"/>
          <c:showSerName val="0"/>
          <c:showPercent val="0"/>
          <c:showBubbleSize val="0"/>
        </c:dLbls>
        <c:gapWidth val="62"/>
        <c:axId val="553146192"/>
        <c:axId val="553146584"/>
      </c:barChart>
      <c:catAx>
        <c:axId val="5531461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crossAx val="553146584"/>
        <c:crosses val="autoZero"/>
        <c:auto val="1"/>
        <c:lblAlgn val="ctr"/>
        <c:lblOffset val="100"/>
        <c:noMultiLvlLbl val="0"/>
      </c:catAx>
      <c:valAx>
        <c:axId val="5531465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619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00B050"/>
            </a:solidFill>
            <a:ln>
              <a:noFill/>
            </a:ln>
            <a:effectLst/>
          </c:spPr>
          <c:invertIfNegative val="0"/>
          <c:dPt>
            <c:idx val="7"/>
            <c:invertIfNegative val="0"/>
            <c:bubble3D val="0"/>
            <c:spPr>
              <a:pattFill prst="wdDnDiag">
                <a:fgClr>
                  <a:srgbClr val="00B050"/>
                </a:fgClr>
                <a:bgClr>
                  <a:schemeClr val="bg1"/>
                </a:bgClr>
              </a:pattFill>
              <a:ln>
                <a:solidFill>
                  <a:schemeClr val="tx1"/>
                </a:solidFill>
              </a:ln>
              <a:effectLst/>
            </c:spPr>
            <c:extLst>
              <c:ext xmlns:c16="http://schemas.microsoft.com/office/drawing/2014/chart" uri="{C3380CC4-5D6E-409C-BE32-E72D297353CC}">
                <c16:uniqueId val="{00000001-E6DF-4F6E-A095-410E17225D8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'[Uganda_results_2019 (1).xlsx]Immunisation'!$A$4:$A$11</c:f>
              <c:strCache>
                <c:ptCount val="8"/>
                <c:pt idx="0">
                  <c:v>Routine DPT-Hib+HepB immunization</c:v>
                </c:pt>
                <c:pt idx="1">
                  <c:v>Routine Polio immunization</c:v>
                </c:pt>
                <c:pt idx="2">
                  <c:v>BCG immunization</c:v>
                </c:pt>
                <c:pt idx="3">
                  <c:v>Tetanus Toxoid immunization</c:v>
                </c:pt>
                <c:pt idx="4">
                  <c:v>Routine measles immunization</c:v>
                </c:pt>
                <c:pt idx="5">
                  <c:v>Pneumococcal immunization</c:v>
                </c:pt>
                <c:pt idx="7">
                  <c:v>Imunization services offered</c:v>
                </c:pt>
              </c:strCache>
            </c:strRef>
          </c:cat>
          <c:val>
            <c:numRef>
              <c:f>'[Uganda_results_2019 (1).xlsx]Immunisation'!$B$4:$B$11</c:f>
              <c:numCache>
                <c:formatCode>General</c:formatCode>
                <c:ptCount val="8"/>
                <c:pt idx="0">
                  <c:v>96</c:v>
                </c:pt>
                <c:pt idx="1">
                  <c:v>96</c:v>
                </c:pt>
                <c:pt idx="2">
                  <c:v>96</c:v>
                </c:pt>
                <c:pt idx="3">
                  <c:v>96</c:v>
                </c:pt>
                <c:pt idx="4">
                  <c:v>94</c:v>
                </c:pt>
                <c:pt idx="5">
                  <c:v>93</c:v>
                </c:pt>
                <c:pt idx="7">
                  <c:v>77</c:v>
                </c:pt>
              </c:numCache>
            </c:numRef>
          </c:val>
          <c:extLst>
            <c:ext xmlns:c16="http://schemas.microsoft.com/office/drawing/2014/chart" uri="{C3380CC4-5D6E-409C-BE32-E72D297353CC}">
              <c16:uniqueId val="{00000002-E6DF-4F6E-A095-410E17225D8D}"/>
            </c:ext>
          </c:extLst>
        </c:ser>
        <c:dLbls>
          <c:dLblPos val="inEnd"/>
          <c:showLegendKey val="0"/>
          <c:showVal val="1"/>
          <c:showCatName val="0"/>
          <c:showSerName val="0"/>
          <c:showPercent val="0"/>
          <c:showBubbleSize val="0"/>
        </c:dLbls>
        <c:gapWidth val="62"/>
        <c:axId val="553147368"/>
        <c:axId val="553147760"/>
      </c:barChart>
      <c:catAx>
        <c:axId val="5531473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7760"/>
        <c:crosses val="autoZero"/>
        <c:auto val="1"/>
        <c:lblAlgn val="ctr"/>
        <c:lblOffset val="100"/>
        <c:noMultiLvlLbl val="0"/>
      </c:catAx>
      <c:valAx>
        <c:axId val="553147760"/>
        <c:scaling>
          <c:orientation val="minMax"/>
          <c:max val="100"/>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736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50"/>
            </a:solidFill>
            <a:ln>
              <a:noFill/>
            </a:ln>
            <a:effectLst/>
          </c:spPr>
          <c:invertIfNegative val="0"/>
          <c:dPt>
            <c:idx val="23"/>
            <c:invertIfNegative val="0"/>
            <c:bubble3D val="0"/>
            <c:spPr>
              <a:pattFill prst="wdDnDiag">
                <a:fgClr>
                  <a:srgbClr val="00B050"/>
                </a:fgClr>
                <a:bgClr>
                  <a:schemeClr val="bg1"/>
                </a:bgClr>
              </a:pattFill>
              <a:ln>
                <a:solidFill>
                  <a:schemeClr val="tx1"/>
                </a:solidFill>
              </a:ln>
              <a:effectLst/>
            </c:spPr>
            <c:extLst>
              <c:ext xmlns:c16="http://schemas.microsoft.com/office/drawing/2014/chart" uri="{C3380CC4-5D6E-409C-BE32-E72D297353CC}">
                <c16:uniqueId val="{00000001-26A6-41E7-B110-F6E3C1A4899C}"/>
              </c:ext>
            </c:extLst>
          </c:dPt>
          <c:cat>
            <c:multiLvlStrRef>
              <c:f>Immunisation!$A$30:$B$53</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Kampala</c:v>
                  </c:pt>
                  <c:pt idx="13">
                    <c:v>West-Nile</c:v>
                  </c:pt>
                  <c:pt idx="14">
                    <c:v>Central2</c:v>
                  </c:pt>
                  <c:pt idx="15">
                    <c:v>Central1</c:v>
                  </c:pt>
                  <c:pt idx="16">
                    <c:v>Mid-East</c:v>
                  </c:pt>
                  <c:pt idx="17">
                    <c:v>North-East</c:v>
                  </c:pt>
                  <c:pt idx="18">
                    <c:v>South-West</c:v>
                  </c:pt>
                  <c:pt idx="19">
                    <c:v>Mid-North</c:v>
                  </c:pt>
                  <c:pt idx="20">
                    <c:v>Karamoja</c:v>
                  </c:pt>
                  <c:pt idx="21">
                    <c:v>Mid-West</c:v>
                  </c:pt>
                  <c:pt idx="23">
                    <c:v>National</c:v>
                  </c:pt>
                </c:lvl>
                <c:lvl>
                  <c:pt idx="0">
                    <c:v>Facility Level</c:v>
                  </c:pt>
                  <c:pt idx="6">
                    <c:v>Ownership</c:v>
                  </c:pt>
                  <c:pt idx="9">
                    <c:v>Facility Location</c:v>
                  </c:pt>
                  <c:pt idx="12">
                    <c:v>Health Region</c:v>
                  </c:pt>
                  <c:pt idx="23">
                    <c:v>Uganda</c:v>
                  </c:pt>
                </c:lvl>
              </c:multiLvlStrCache>
            </c:multiLvlStrRef>
          </c:cat>
          <c:val>
            <c:numRef>
              <c:f>Immunisation!$C$30:$C$53</c:f>
              <c:numCache>
                <c:formatCode>General</c:formatCode>
                <c:ptCount val="24"/>
                <c:pt idx="0">
                  <c:v>100</c:v>
                </c:pt>
                <c:pt idx="1">
                  <c:v>85</c:v>
                </c:pt>
                <c:pt idx="2">
                  <c:v>89</c:v>
                </c:pt>
                <c:pt idx="3">
                  <c:v>91</c:v>
                </c:pt>
                <c:pt idx="4">
                  <c:v>70</c:v>
                </c:pt>
                <c:pt idx="6">
                  <c:v>96</c:v>
                </c:pt>
                <c:pt idx="7">
                  <c:v>59</c:v>
                </c:pt>
                <c:pt idx="9">
                  <c:v>55</c:v>
                </c:pt>
                <c:pt idx="10">
                  <c:v>93</c:v>
                </c:pt>
                <c:pt idx="12">
                  <c:v>38</c:v>
                </c:pt>
                <c:pt idx="13">
                  <c:v>63</c:v>
                </c:pt>
                <c:pt idx="14">
                  <c:v>74</c:v>
                </c:pt>
                <c:pt idx="15">
                  <c:v>94</c:v>
                </c:pt>
                <c:pt idx="16">
                  <c:v>94</c:v>
                </c:pt>
                <c:pt idx="17">
                  <c:v>94</c:v>
                </c:pt>
                <c:pt idx="18">
                  <c:v>96</c:v>
                </c:pt>
                <c:pt idx="19">
                  <c:v>98</c:v>
                </c:pt>
                <c:pt idx="20">
                  <c:v>100</c:v>
                </c:pt>
                <c:pt idx="21">
                  <c:v>100</c:v>
                </c:pt>
                <c:pt idx="23">
                  <c:v>77</c:v>
                </c:pt>
              </c:numCache>
            </c:numRef>
          </c:val>
          <c:extLst>
            <c:ext xmlns:c16="http://schemas.microsoft.com/office/drawing/2014/chart" uri="{C3380CC4-5D6E-409C-BE32-E72D297353CC}">
              <c16:uniqueId val="{00000002-26A6-41E7-B110-F6E3C1A4899C}"/>
            </c:ext>
          </c:extLst>
        </c:ser>
        <c:dLbls>
          <c:showLegendKey val="0"/>
          <c:showVal val="0"/>
          <c:showCatName val="0"/>
          <c:showSerName val="0"/>
          <c:showPercent val="0"/>
          <c:showBubbleSize val="0"/>
        </c:dLbls>
        <c:gapWidth val="60"/>
        <c:overlap val="-27"/>
        <c:axId val="553148936"/>
        <c:axId val="553149328"/>
      </c:barChart>
      <c:catAx>
        <c:axId val="553148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9328"/>
        <c:crosses val="autoZero"/>
        <c:auto val="1"/>
        <c:lblAlgn val="ctr"/>
        <c:lblOffset val="100"/>
        <c:noMultiLvlLbl val="0"/>
      </c:catAx>
      <c:valAx>
        <c:axId val="553149328"/>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eorgia" panose="02040502050405020303" pitchFamily="18" charset="0"/>
                    <a:ea typeface="+mn-ea"/>
                    <a:cs typeface="+mn-cs"/>
                  </a:defRPr>
                </a:pPr>
                <a:r>
                  <a:rPr lang="en-US">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893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Immunisation!$A$62:$A$66</c:f>
              <c:strCache>
                <c:ptCount val="5"/>
                <c:pt idx="0">
                  <c:v>Weekly</c:v>
                </c:pt>
                <c:pt idx="1">
                  <c:v>Daily</c:v>
                </c:pt>
                <c:pt idx="2">
                  <c:v>Twice a week</c:v>
                </c:pt>
                <c:pt idx="3">
                  <c:v>Monthly</c:v>
                </c:pt>
                <c:pt idx="4">
                  <c:v>Quarterly</c:v>
                </c:pt>
              </c:strCache>
            </c:strRef>
          </c:cat>
          <c:val>
            <c:numRef>
              <c:f>Immunisation!$B$62:$B$66</c:f>
              <c:numCache>
                <c:formatCode>General</c:formatCode>
                <c:ptCount val="5"/>
                <c:pt idx="0">
                  <c:v>50</c:v>
                </c:pt>
                <c:pt idx="1">
                  <c:v>31</c:v>
                </c:pt>
                <c:pt idx="2">
                  <c:v>12</c:v>
                </c:pt>
                <c:pt idx="3">
                  <c:v>5</c:v>
                </c:pt>
                <c:pt idx="4">
                  <c:v>2</c:v>
                </c:pt>
              </c:numCache>
            </c:numRef>
          </c:val>
          <c:extLst>
            <c:ext xmlns:c16="http://schemas.microsoft.com/office/drawing/2014/chart" uri="{C3380CC4-5D6E-409C-BE32-E72D297353CC}">
              <c16:uniqueId val="{00000000-CEA5-4B74-9180-AEDDE9A4F303}"/>
            </c:ext>
          </c:extLst>
        </c:ser>
        <c:dLbls>
          <c:showLegendKey val="0"/>
          <c:showVal val="0"/>
          <c:showCatName val="0"/>
          <c:showSerName val="0"/>
          <c:showPercent val="0"/>
          <c:showBubbleSize val="0"/>
        </c:dLbls>
        <c:gapWidth val="219"/>
        <c:overlap val="-27"/>
        <c:axId val="553149720"/>
        <c:axId val="553150112"/>
      </c:barChart>
      <c:catAx>
        <c:axId val="553149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50112"/>
        <c:crosses val="autoZero"/>
        <c:auto val="1"/>
        <c:lblAlgn val="ctr"/>
        <c:lblOffset val="100"/>
        <c:noMultiLvlLbl val="0"/>
      </c:catAx>
      <c:valAx>
        <c:axId val="553150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49720"/>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C000"/>
            </a:solidFill>
            <a:ln>
              <a:noFill/>
            </a:ln>
            <a:effectLst/>
          </c:spPr>
          <c:invertIfNegative val="0"/>
          <c:dPt>
            <c:idx val="12"/>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1-DDA8-4314-9DF2-4C94499AE6ED}"/>
              </c:ext>
            </c:extLst>
          </c:dPt>
          <c:dPt>
            <c:idx val="13"/>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3-DDA8-4314-9DF2-4C94499AE6ED}"/>
              </c:ext>
            </c:extLst>
          </c:dPt>
          <c:cat>
            <c:multiLvlStrRef>
              <c:f>Immunisation!$A$85:$B$98</c:f>
              <c:multiLvlStrCache>
                <c:ptCount val="14"/>
                <c:lvl>
                  <c:pt idx="0">
                    <c:v>EPI Manual 2017</c:v>
                  </c:pt>
                  <c:pt idx="1">
                    <c:v>Staff received training on immunization</c:v>
                  </c:pt>
                  <c:pt idx="3">
                    <c:v>Immunization cards or child heath booklet</c:v>
                  </c:pt>
                  <c:pt idx="4">
                    <c:v>Vaccine Storage Refrigerator available &amp; functioning</c:v>
                  </c:pt>
                  <c:pt idx="5">
                    <c:v>Immunization/integrated tally sheets</c:v>
                  </c:pt>
                  <c:pt idx="6">
                    <c:v>Vaccine carrier(s)/cold box</c:v>
                  </c:pt>
                  <c:pt idx="7">
                    <c:v>Auto-disable syringes</c:v>
                  </c:pt>
                  <c:pt idx="8">
                    <c:v>Sharps container/safety box</c:v>
                  </c:pt>
                  <c:pt idx="9">
                    <c:v>Set of ice packs(s) for vaccine management</c:v>
                  </c:pt>
                  <c:pt idx="10">
                    <c:v>Official immunization registers</c:v>
                  </c:pt>
                  <c:pt idx="12">
                    <c:v>All items available</c:v>
                  </c:pt>
                  <c:pt idx="13">
                    <c:v>Mean Availability </c:v>
                  </c:pt>
                </c:lvl>
                <c:lvl>
                  <c:pt idx="0">
                    <c:v>Staff and Guidelines</c:v>
                  </c:pt>
                  <c:pt idx="3">
                    <c:v>Equipment</c:v>
                  </c:pt>
                  <c:pt idx="12">
                    <c:v>Readiness score</c:v>
                  </c:pt>
                </c:lvl>
              </c:multiLvlStrCache>
            </c:multiLvlStrRef>
          </c:cat>
          <c:val>
            <c:numRef>
              <c:f>Immunisation!$C$85:$C$98</c:f>
              <c:numCache>
                <c:formatCode>General</c:formatCode>
                <c:ptCount val="14"/>
                <c:pt idx="0">
                  <c:v>66</c:v>
                </c:pt>
                <c:pt idx="1">
                  <c:v>91</c:v>
                </c:pt>
                <c:pt idx="3">
                  <c:v>69</c:v>
                </c:pt>
                <c:pt idx="4">
                  <c:v>87</c:v>
                </c:pt>
                <c:pt idx="5">
                  <c:v>92</c:v>
                </c:pt>
                <c:pt idx="6">
                  <c:v>93</c:v>
                </c:pt>
                <c:pt idx="7">
                  <c:v>94</c:v>
                </c:pt>
                <c:pt idx="8">
                  <c:v>94</c:v>
                </c:pt>
                <c:pt idx="9">
                  <c:v>95</c:v>
                </c:pt>
                <c:pt idx="10">
                  <c:v>95</c:v>
                </c:pt>
                <c:pt idx="12" formatCode="0">
                  <c:v>33</c:v>
                </c:pt>
                <c:pt idx="13" formatCode="0">
                  <c:v>87.6</c:v>
                </c:pt>
              </c:numCache>
            </c:numRef>
          </c:val>
          <c:extLst>
            <c:ext xmlns:c16="http://schemas.microsoft.com/office/drawing/2014/chart" uri="{C3380CC4-5D6E-409C-BE32-E72D297353CC}">
              <c16:uniqueId val="{00000004-DDA8-4314-9DF2-4C94499AE6ED}"/>
            </c:ext>
          </c:extLst>
        </c:ser>
        <c:dLbls>
          <c:showLegendKey val="0"/>
          <c:showVal val="0"/>
          <c:showCatName val="0"/>
          <c:showSerName val="0"/>
          <c:showPercent val="0"/>
          <c:showBubbleSize val="0"/>
        </c:dLbls>
        <c:gapWidth val="60"/>
        <c:axId val="553150896"/>
        <c:axId val="553151288"/>
      </c:barChart>
      <c:catAx>
        <c:axId val="553150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51288"/>
        <c:crosses val="autoZero"/>
        <c:auto val="1"/>
        <c:lblAlgn val="ctr"/>
        <c:lblOffset val="100"/>
        <c:noMultiLvlLbl val="0"/>
      </c:catAx>
      <c:valAx>
        <c:axId val="553151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150896"/>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9900"/>
            </a:solidFill>
            <a:ln>
              <a:noFill/>
            </a:ln>
            <a:effectLst/>
          </c:spPr>
          <c:invertIfNegative val="0"/>
          <c:dPt>
            <c:idx val="7"/>
            <c:invertIfNegative val="0"/>
            <c:bubble3D val="0"/>
            <c:spPr>
              <a:pattFill prst="wdDnDiag">
                <a:fgClr>
                  <a:srgbClr val="FF9900"/>
                </a:fgClr>
                <a:bgClr>
                  <a:schemeClr val="bg1"/>
                </a:bgClr>
              </a:pattFill>
              <a:ln>
                <a:solidFill>
                  <a:schemeClr val="tx1"/>
                </a:solidFill>
              </a:ln>
              <a:effectLst/>
            </c:spPr>
            <c:extLst>
              <c:ext xmlns:c16="http://schemas.microsoft.com/office/drawing/2014/chart" uri="{C3380CC4-5D6E-409C-BE32-E72D297353CC}">
                <c16:uniqueId val="{00000001-7843-4B86-8DEB-04036433A7EC}"/>
              </c:ext>
            </c:extLst>
          </c:dPt>
          <c:dPt>
            <c:idx val="8"/>
            <c:invertIfNegative val="0"/>
            <c:bubble3D val="0"/>
            <c:spPr>
              <a:pattFill prst="wdDnDiag">
                <a:fgClr>
                  <a:srgbClr val="FF9900"/>
                </a:fgClr>
                <a:bgClr>
                  <a:schemeClr val="bg1"/>
                </a:bgClr>
              </a:pattFill>
              <a:ln>
                <a:solidFill>
                  <a:schemeClr val="tx1"/>
                </a:solidFill>
              </a:ln>
              <a:effectLst/>
            </c:spPr>
            <c:extLst>
              <c:ext xmlns:c16="http://schemas.microsoft.com/office/drawing/2014/chart" uri="{C3380CC4-5D6E-409C-BE32-E72D297353CC}">
                <c16:uniqueId val="{00000003-7843-4B86-8DEB-04036433A7E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Immunisation!$A$116:$A$124</c:f>
              <c:strCache>
                <c:ptCount val="9"/>
                <c:pt idx="0">
                  <c:v>Measles vaccine &amp; diluent</c:v>
                </c:pt>
                <c:pt idx="1">
                  <c:v>Oral polio vaccine</c:v>
                </c:pt>
                <c:pt idx="2">
                  <c:v>IPV (Inactive Polio Vaccine)</c:v>
                </c:pt>
                <c:pt idx="3">
                  <c:v>Pneumococcal vaccine</c:v>
                </c:pt>
                <c:pt idx="4">
                  <c:v>BCG vaccine &amp; diluent</c:v>
                </c:pt>
                <c:pt idx="5">
                  <c:v>DPT-Hib+HepB (pentavalent)</c:v>
                </c:pt>
                <c:pt idx="7">
                  <c:v>All Items Available</c:v>
                </c:pt>
                <c:pt idx="8">
                  <c:v>Mean Availability </c:v>
                </c:pt>
              </c:strCache>
            </c:strRef>
          </c:cat>
          <c:val>
            <c:numRef>
              <c:f>Immunisation!$B$116:$B$124</c:f>
              <c:numCache>
                <c:formatCode>0</c:formatCode>
                <c:ptCount val="9"/>
                <c:pt idx="0">
                  <c:v>83</c:v>
                </c:pt>
                <c:pt idx="1">
                  <c:v>83</c:v>
                </c:pt>
                <c:pt idx="2">
                  <c:v>80</c:v>
                </c:pt>
                <c:pt idx="3">
                  <c:v>78</c:v>
                </c:pt>
                <c:pt idx="4">
                  <c:v>77</c:v>
                </c:pt>
                <c:pt idx="5">
                  <c:v>75</c:v>
                </c:pt>
                <c:pt idx="7">
                  <c:v>53</c:v>
                </c:pt>
                <c:pt idx="8">
                  <c:v>79</c:v>
                </c:pt>
              </c:numCache>
            </c:numRef>
          </c:val>
          <c:extLst>
            <c:ext xmlns:c16="http://schemas.microsoft.com/office/drawing/2014/chart" uri="{C3380CC4-5D6E-409C-BE32-E72D297353CC}">
              <c16:uniqueId val="{00000004-7843-4B86-8DEB-04036433A7EC}"/>
            </c:ext>
          </c:extLst>
        </c:ser>
        <c:dLbls>
          <c:showLegendKey val="0"/>
          <c:showVal val="0"/>
          <c:showCatName val="0"/>
          <c:showSerName val="0"/>
          <c:showPercent val="0"/>
          <c:showBubbleSize val="0"/>
        </c:dLbls>
        <c:gapWidth val="62"/>
        <c:axId val="553217968"/>
        <c:axId val="553218360"/>
      </c:barChart>
      <c:catAx>
        <c:axId val="5532179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18360"/>
        <c:crosses val="autoZero"/>
        <c:auto val="1"/>
        <c:lblAlgn val="ctr"/>
        <c:lblOffset val="100"/>
        <c:noMultiLvlLbl val="0"/>
      </c:catAx>
      <c:valAx>
        <c:axId val="553218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Georgia" panose="02040502050405020303" pitchFamily="18" charset="0"/>
                    <a:ea typeface="+mn-ea"/>
                    <a:cs typeface="+mn-cs"/>
                  </a:defRPr>
                </a:pPr>
                <a:r>
                  <a:rPr lang="en-US">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1796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6">
                <a:lumMod val="60000"/>
                <a:lumOff val="40000"/>
              </a:schemeClr>
            </a:solidFill>
            <a:ln>
              <a:noFill/>
            </a:ln>
            <a:effectLst/>
          </c:spPr>
          <c:invertIfNegative val="0"/>
          <c:dPt>
            <c:idx val="0"/>
            <c:invertIfNegative val="0"/>
            <c:bubble3D val="0"/>
            <c:spPr>
              <a:pattFill prst="wdDnDiag">
                <a:fgClr>
                  <a:schemeClr val="accent6">
                    <a:lumMod val="60000"/>
                    <a:lumOff val="40000"/>
                  </a:schemeClr>
                </a:fgClr>
                <a:bgClr>
                  <a:schemeClr val="bg1"/>
                </a:bgClr>
              </a:pattFill>
              <a:ln>
                <a:solidFill>
                  <a:schemeClr val="tx1"/>
                </a:solidFill>
              </a:ln>
              <a:effectLst/>
            </c:spPr>
            <c:extLst>
              <c:ext xmlns:c16="http://schemas.microsoft.com/office/drawing/2014/chart" uri="{C3380CC4-5D6E-409C-BE32-E72D297353CC}">
                <c16:uniqueId val="{00000001-94E2-41CA-8672-05C04EE45E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STIs!$A$4:$A$9</c:f>
              <c:strCache>
                <c:ptCount val="6"/>
                <c:pt idx="0">
                  <c:v>STI services offered</c:v>
                </c:pt>
                <c:pt idx="2">
                  <c:v>Diagnose STIs </c:v>
                </c:pt>
                <c:pt idx="3">
                  <c:v>Treatment for STIs</c:v>
                </c:pt>
                <c:pt idx="4">
                  <c:v>Guidelines STI diagnosis and Treatment</c:v>
                </c:pt>
                <c:pt idx="5">
                  <c:v>Staff trained STI diagnosis and treatment</c:v>
                </c:pt>
              </c:strCache>
            </c:strRef>
          </c:cat>
          <c:val>
            <c:numRef>
              <c:f>STIs!$B$4:$B$9</c:f>
              <c:numCache>
                <c:formatCode>General</c:formatCode>
                <c:ptCount val="6"/>
                <c:pt idx="0">
                  <c:v>85</c:v>
                </c:pt>
                <c:pt idx="2">
                  <c:v>96</c:v>
                </c:pt>
                <c:pt idx="3">
                  <c:v>92</c:v>
                </c:pt>
                <c:pt idx="4">
                  <c:v>79</c:v>
                </c:pt>
                <c:pt idx="5">
                  <c:v>48</c:v>
                </c:pt>
              </c:numCache>
            </c:numRef>
          </c:val>
          <c:extLst>
            <c:ext xmlns:c16="http://schemas.microsoft.com/office/drawing/2014/chart" uri="{C3380CC4-5D6E-409C-BE32-E72D297353CC}">
              <c16:uniqueId val="{00000002-94E2-41CA-8672-05C04EE45E15}"/>
            </c:ext>
          </c:extLst>
        </c:ser>
        <c:dLbls>
          <c:showLegendKey val="0"/>
          <c:showVal val="0"/>
          <c:showCatName val="0"/>
          <c:showSerName val="0"/>
          <c:showPercent val="0"/>
          <c:showBubbleSize val="0"/>
        </c:dLbls>
        <c:gapWidth val="219"/>
        <c:overlap val="-27"/>
        <c:axId val="553219144"/>
        <c:axId val="553219536"/>
      </c:barChart>
      <c:catAx>
        <c:axId val="553219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19536"/>
        <c:crosses val="autoZero"/>
        <c:auto val="1"/>
        <c:lblAlgn val="ctr"/>
        <c:lblOffset val="100"/>
        <c:noMultiLvlLbl val="0"/>
      </c:catAx>
      <c:valAx>
        <c:axId val="55321953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19144"/>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F0"/>
            </a:solidFill>
            <a:ln>
              <a:noFill/>
            </a:ln>
            <a:effectLst/>
          </c:spPr>
          <c:invertIfNegative val="0"/>
          <c:dPt>
            <c:idx val="23"/>
            <c:invertIfNegative val="0"/>
            <c:bubble3D val="0"/>
            <c:spPr>
              <a:pattFill prst="wdDnDiag">
                <a:fgClr>
                  <a:srgbClr val="00B0F0"/>
                </a:fgClr>
                <a:bgClr>
                  <a:schemeClr val="bg1"/>
                </a:bgClr>
              </a:pattFill>
              <a:ln>
                <a:solidFill>
                  <a:schemeClr val="tx1"/>
                </a:solidFill>
              </a:ln>
              <a:effectLst/>
            </c:spPr>
            <c:extLst>
              <c:ext xmlns:c16="http://schemas.microsoft.com/office/drawing/2014/chart" uri="{C3380CC4-5D6E-409C-BE32-E72D297353CC}">
                <c16:uniqueId val="{00000001-98F7-47C2-8E9F-EE21BF77C87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STIs!$A$27:$B$50</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Central2</c:v>
                  </c:pt>
                  <c:pt idx="13">
                    <c:v>Mid East</c:v>
                  </c:pt>
                  <c:pt idx="14">
                    <c:v>Kampala</c:v>
                  </c:pt>
                  <c:pt idx="15">
                    <c:v>West Nile</c:v>
                  </c:pt>
                  <c:pt idx="16">
                    <c:v>Central1</c:v>
                  </c:pt>
                  <c:pt idx="17">
                    <c:v>Mid-North</c:v>
                  </c:pt>
                  <c:pt idx="18">
                    <c:v>South West</c:v>
                  </c:pt>
                  <c:pt idx="19">
                    <c:v>Karamoja</c:v>
                  </c:pt>
                  <c:pt idx="20">
                    <c:v>Mid-West</c:v>
                  </c:pt>
                  <c:pt idx="21">
                    <c:v>North East</c:v>
                  </c:pt>
                  <c:pt idx="22">
                    <c:v> </c:v>
                  </c:pt>
                  <c:pt idx="23">
                    <c:v>National</c:v>
                  </c:pt>
                </c:lvl>
                <c:lvl>
                  <c:pt idx="0">
                    <c:v>Facility Level </c:v>
                  </c:pt>
                  <c:pt idx="6">
                    <c:v>Ownership</c:v>
                  </c:pt>
                  <c:pt idx="9">
                    <c:v>Location</c:v>
                  </c:pt>
                  <c:pt idx="12">
                    <c:v>Health Region</c:v>
                  </c:pt>
                  <c:pt idx="23">
                    <c:v>Uganda </c:v>
                  </c:pt>
                </c:lvl>
              </c:multiLvlStrCache>
            </c:multiLvlStrRef>
          </c:cat>
          <c:val>
            <c:numRef>
              <c:f>STIs!$C$27:$C$50</c:f>
              <c:numCache>
                <c:formatCode>General</c:formatCode>
                <c:ptCount val="24"/>
                <c:pt idx="0">
                  <c:v>100</c:v>
                </c:pt>
                <c:pt idx="1">
                  <c:v>89</c:v>
                </c:pt>
                <c:pt idx="2">
                  <c:v>96</c:v>
                </c:pt>
                <c:pt idx="3">
                  <c:v>89</c:v>
                </c:pt>
                <c:pt idx="4">
                  <c:v>83</c:v>
                </c:pt>
                <c:pt idx="6">
                  <c:v>89</c:v>
                </c:pt>
                <c:pt idx="7">
                  <c:v>82</c:v>
                </c:pt>
                <c:pt idx="9">
                  <c:v>81</c:v>
                </c:pt>
                <c:pt idx="10">
                  <c:v>89</c:v>
                </c:pt>
                <c:pt idx="12">
                  <c:v>63</c:v>
                </c:pt>
                <c:pt idx="13">
                  <c:v>75</c:v>
                </c:pt>
                <c:pt idx="14">
                  <c:v>79</c:v>
                </c:pt>
                <c:pt idx="15">
                  <c:v>80</c:v>
                </c:pt>
                <c:pt idx="16">
                  <c:v>82</c:v>
                </c:pt>
                <c:pt idx="17">
                  <c:v>98</c:v>
                </c:pt>
                <c:pt idx="18">
                  <c:v>98</c:v>
                </c:pt>
                <c:pt idx="19">
                  <c:v>100</c:v>
                </c:pt>
                <c:pt idx="20">
                  <c:v>100</c:v>
                </c:pt>
                <c:pt idx="21">
                  <c:v>100</c:v>
                </c:pt>
                <c:pt idx="23">
                  <c:v>85</c:v>
                </c:pt>
              </c:numCache>
            </c:numRef>
          </c:val>
          <c:extLst>
            <c:ext xmlns:c16="http://schemas.microsoft.com/office/drawing/2014/chart" uri="{C3380CC4-5D6E-409C-BE32-E72D297353CC}">
              <c16:uniqueId val="{00000002-98F7-47C2-8E9F-EE21BF77C870}"/>
            </c:ext>
          </c:extLst>
        </c:ser>
        <c:dLbls>
          <c:showLegendKey val="0"/>
          <c:showVal val="0"/>
          <c:showCatName val="0"/>
          <c:showSerName val="0"/>
          <c:showPercent val="0"/>
          <c:showBubbleSize val="0"/>
        </c:dLbls>
        <c:gapWidth val="62"/>
        <c:overlap val="-27"/>
        <c:axId val="553220712"/>
        <c:axId val="553221104"/>
      </c:barChart>
      <c:catAx>
        <c:axId val="553220712"/>
        <c:scaling>
          <c:orientation val="minMax"/>
        </c:scaling>
        <c:delete val="0"/>
        <c:axPos val="b"/>
        <c:numFmt formatCode="General" sourceLinked="1"/>
        <c:majorTickMark val="none"/>
        <c:minorTickMark val="none"/>
        <c:tickLblPos val="nextTo"/>
        <c:spPr>
          <a:noFill/>
          <a:ln w="9525" cap="flat" cmpd="sng" algn="ctr">
            <a:solidFill>
              <a:srgbClr val="0070C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1104"/>
        <c:crosses val="autoZero"/>
        <c:auto val="1"/>
        <c:lblAlgn val="ctr"/>
        <c:lblOffset val="100"/>
        <c:noMultiLvlLbl val="0"/>
      </c:catAx>
      <c:valAx>
        <c:axId val="55322110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0712"/>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FFC000"/>
            </a:solidFill>
            <a:ln>
              <a:noFill/>
            </a:ln>
            <a:effectLst/>
          </c:spPr>
          <c:invertIfNegative val="0"/>
          <c:dPt>
            <c:idx val="23"/>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1-6BE2-4022-B766-BC734D4C0276}"/>
              </c:ext>
            </c:extLst>
          </c:dPt>
          <c:cat>
            <c:multiLvlStrRef>
              <c:f>'Blood Transfusion'!$A$3:$B$26</c:f>
              <c:multiLvlStrCache>
                <c:ptCount val="24"/>
                <c:lvl>
                  <c:pt idx="0">
                    <c:v>Regional Hospital</c:v>
                  </c:pt>
                  <c:pt idx="1">
                    <c:v>General Hospital</c:v>
                  </c:pt>
                  <c:pt idx="2">
                    <c:v>HC IV</c:v>
                  </c:pt>
                  <c:pt idx="3">
                    <c:v>HC III</c:v>
                  </c:pt>
                  <c:pt idx="4">
                    <c:v>HC II</c:v>
                  </c:pt>
                  <c:pt idx="6">
                    <c:v>Public/G</c:v>
                  </c:pt>
                  <c:pt idx="7">
                    <c:v>Private</c:v>
                  </c:pt>
                  <c:pt idx="9">
                    <c:v>Urban</c:v>
                  </c:pt>
                  <c:pt idx="10">
                    <c:v>Rural</c:v>
                  </c:pt>
                  <c:pt idx="12">
                    <c:v>Mid-West</c:v>
                  </c:pt>
                  <c:pt idx="13">
                    <c:v>South West</c:v>
                  </c:pt>
                  <c:pt idx="14">
                    <c:v>Central1</c:v>
                  </c:pt>
                  <c:pt idx="15">
                    <c:v>Mid East</c:v>
                  </c:pt>
                  <c:pt idx="16">
                    <c:v>Mid-North</c:v>
                  </c:pt>
                  <c:pt idx="17">
                    <c:v>Karamoja</c:v>
                  </c:pt>
                  <c:pt idx="18">
                    <c:v>Kampala</c:v>
                  </c:pt>
                  <c:pt idx="19">
                    <c:v>North East</c:v>
                  </c:pt>
                  <c:pt idx="20">
                    <c:v>Central2</c:v>
                  </c:pt>
                  <c:pt idx="21">
                    <c:v>West Nile</c:v>
                  </c:pt>
                  <c:pt idx="23">
                    <c:v>National</c:v>
                  </c:pt>
                </c:lvl>
                <c:lvl>
                  <c:pt idx="0">
                    <c:v>Facility Level </c:v>
                  </c:pt>
                  <c:pt idx="6">
                    <c:v>Ownership</c:v>
                  </c:pt>
                  <c:pt idx="9">
                    <c:v>Location</c:v>
                  </c:pt>
                  <c:pt idx="12">
                    <c:v>Health Region </c:v>
                  </c:pt>
                  <c:pt idx="23">
                    <c:v>Total Uganda </c:v>
                  </c:pt>
                </c:lvl>
              </c:multiLvlStrCache>
            </c:multiLvlStrRef>
          </c:cat>
          <c:val>
            <c:numRef>
              <c:f>'Blood Transfusion'!$C$3:$C$26</c:f>
              <c:numCache>
                <c:formatCode>General</c:formatCode>
                <c:ptCount val="24"/>
                <c:pt idx="0">
                  <c:v>86</c:v>
                </c:pt>
                <c:pt idx="1">
                  <c:v>74</c:v>
                </c:pt>
                <c:pt idx="2">
                  <c:v>25</c:v>
                </c:pt>
                <c:pt idx="3">
                  <c:v>14</c:v>
                </c:pt>
                <c:pt idx="4">
                  <c:v>9</c:v>
                </c:pt>
                <c:pt idx="6">
                  <c:v>16</c:v>
                </c:pt>
                <c:pt idx="7">
                  <c:v>11</c:v>
                </c:pt>
                <c:pt idx="9">
                  <c:v>13</c:v>
                </c:pt>
                <c:pt idx="10">
                  <c:v>13</c:v>
                </c:pt>
                <c:pt idx="12">
                  <c:v>38</c:v>
                </c:pt>
                <c:pt idx="13">
                  <c:v>18</c:v>
                </c:pt>
                <c:pt idx="14">
                  <c:v>17</c:v>
                </c:pt>
                <c:pt idx="15">
                  <c:v>17</c:v>
                </c:pt>
                <c:pt idx="16">
                  <c:v>16</c:v>
                </c:pt>
                <c:pt idx="17">
                  <c:v>13</c:v>
                </c:pt>
                <c:pt idx="18">
                  <c:v>8</c:v>
                </c:pt>
                <c:pt idx="19">
                  <c:v>6</c:v>
                </c:pt>
                <c:pt idx="20">
                  <c:v>3</c:v>
                </c:pt>
                <c:pt idx="21">
                  <c:v>3</c:v>
                </c:pt>
                <c:pt idx="23">
                  <c:v>13</c:v>
                </c:pt>
              </c:numCache>
            </c:numRef>
          </c:val>
          <c:extLst>
            <c:ext xmlns:c16="http://schemas.microsoft.com/office/drawing/2014/chart" uri="{C3380CC4-5D6E-409C-BE32-E72D297353CC}">
              <c16:uniqueId val="{00000002-6BE2-4022-B766-BC734D4C0276}"/>
            </c:ext>
          </c:extLst>
        </c:ser>
        <c:dLbls>
          <c:showLegendKey val="0"/>
          <c:showVal val="0"/>
          <c:showCatName val="0"/>
          <c:showSerName val="0"/>
          <c:showPercent val="0"/>
          <c:showBubbleSize val="0"/>
        </c:dLbls>
        <c:gapWidth val="62"/>
        <c:overlap val="-27"/>
        <c:axId val="553221888"/>
        <c:axId val="553222280"/>
      </c:barChart>
      <c:catAx>
        <c:axId val="553221888"/>
        <c:scaling>
          <c:orientation val="minMax"/>
        </c:scaling>
        <c:delete val="0"/>
        <c:axPos val="b"/>
        <c:numFmt formatCode="General" sourceLinked="1"/>
        <c:majorTickMark val="none"/>
        <c:minorTickMark val="none"/>
        <c:tickLblPos val="nextTo"/>
        <c:spPr>
          <a:noFill/>
          <a:ln w="9525" cap="flat" cmpd="sng" algn="ctr">
            <a:solidFill>
              <a:srgbClr val="0070C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2280"/>
        <c:crosses val="autoZero"/>
        <c:auto val="1"/>
        <c:lblAlgn val="ctr"/>
        <c:lblOffset val="100"/>
        <c:noMultiLvlLbl val="0"/>
      </c:catAx>
      <c:valAx>
        <c:axId val="553222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eorgia" panose="02040502050405020303" pitchFamily="18" charset="0"/>
                    <a:ea typeface="+mn-ea"/>
                    <a:cs typeface="+mn-cs"/>
                  </a:defRPr>
                </a:pPr>
                <a:r>
                  <a:rPr lang="en-US">
                    <a:latin typeface="Georgia" panose="02040502050405020303" pitchFamily="18" charset="0"/>
                  </a:rPr>
                  <a:t>Percent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1888"/>
        <c:crosses val="autoZero"/>
        <c:crossBetween val="between"/>
      </c:valAx>
      <c:spPr>
        <a:noFill/>
        <a:ln>
          <a:noFill/>
        </a:ln>
        <a:effectLst/>
      </c:spPr>
    </c:plotArea>
    <c:plotVisOnly val="1"/>
    <c:dispBlanksAs val="gap"/>
    <c:showDLblsOverMax val="0"/>
  </c:chart>
  <c:spPr>
    <a:solidFill>
      <a:schemeClr val="bg1"/>
    </a:solidFill>
    <a:ln w="19050" cap="flat" cmpd="sng" algn="ctr">
      <a:solidFill>
        <a:srgbClr val="0070C0"/>
      </a:solidFill>
      <a:round/>
    </a:ln>
    <a:effectLst/>
  </c:spPr>
  <c:txPr>
    <a:bodyPr/>
    <a:lstStyle/>
    <a:p>
      <a:pPr>
        <a:defRPr/>
      </a:pPr>
      <a:endParaRPr lang="en-US"/>
    </a:p>
  </c:txPr>
  <c:externalData r:id="rId3">
    <c:autoUpdate val="0"/>
  </c:externalData>
</c:chartSpace>
</file>

<file path=word/charts/chart8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C000"/>
            </a:solidFill>
            <a:ln>
              <a:noFill/>
            </a:ln>
            <a:effectLst/>
          </c:spPr>
          <c:invertIfNegative val="0"/>
          <c:dPt>
            <c:idx val="10"/>
            <c:invertIfNegative val="0"/>
            <c:bubble3D val="0"/>
            <c:spPr>
              <a:pattFill prst="wdDnDiag">
                <a:fgClr>
                  <a:srgbClr val="FFC000"/>
                </a:fgClr>
                <a:bgClr>
                  <a:schemeClr val="bg1"/>
                </a:bgClr>
              </a:pattFill>
              <a:ln>
                <a:solidFill>
                  <a:schemeClr val="tx1"/>
                </a:solidFill>
              </a:ln>
              <a:effectLst/>
            </c:spPr>
            <c:extLst>
              <c:ext xmlns:c16="http://schemas.microsoft.com/office/drawing/2014/chart" uri="{C3380CC4-5D6E-409C-BE32-E72D297353CC}">
                <c16:uniqueId val="{00000001-FBD0-4D14-900B-7BA30DF345B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eorgia" panose="02040502050405020303"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'Blood Transfusion'!$A$32:$A$42</c:f>
              <c:strCache>
                <c:ptCount val="11"/>
                <c:pt idx="0">
                  <c:v>Staff trained in safe blood transfusion practices in the last 2yrs</c:v>
                </c:pt>
                <c:pt idx="1">
                  <c:v>Facility screens Blood for infectious diseases prior to transfusion</c:v>
                </c:pt>
                <c:pt idx="2">
                  <c:v>Any other source of Blood apart from national/ regional blood centres</c:v>
                </c:pt>
                <c:pt idx="3">
                  <c:v>Guidelines safe blood transfusion practices available</c:v>
                </c:pt>
                <c:pt idx="4">
                  <c:v>Interruptions in blood supply in past 3 months</c:v>
                </c:pt>
                <c:pt idx="5">
                  <c:v>Refrigerator for Blood storage Available </c:v>
                </c:pt>
                <c:pt idx="6">
                  <c:v>Temperature within range in last 30 days</c:v>
                </c:pt>
                <c:pt idx="7">
                  <c:v>Temperature Log completed for the Last 30 days</c:v>
                </c:pt>
                <c:pt idx="8">
                  <c:v>Temperature of Fridge monitored atleast once every 24 hrs</c:v>
                </c:pt>
                <c:pt idx="10">
                  <c:v>Blood tranfusion services offered</c:v>
                </c:pt>
              </c:strCache>
            </c:strRef>
          </c:cat>
          <c:val>
            <c:numRef>
              <c:f>'Blood Transfusion'!$B$32:$B$42</c:f>
              <c:numCache>
                <c:formatCode>General</c:formatCode>
                <c:ptCount val="11"/>
                <c:pt idx="0">
                  <c:v>28</c:v>
                </c:pt>
                <c:pt idx="1">
                  <c:v>33</c:v>
                </c:pt>
                <c:pt idx="2">
                  <c:v>42</c:v>
                </c:pt>
                <c:pt idx="3">
                  <c:v>52</c:v>
                </c:pt>
                <c:pt idx="4">
                  <c:v>71</c:v>
                </c:pt>
                <c:pt idx="5">
                  <c:v>72</c:v>
                </c:pt>
                <c:pt idx="6">
                  <c:v>76</c:v>
                </c:pt>
                <c:pt idx="7">
                  <c:v>84</c:v>
                </c:pt>
                <c:pt idx="8">
                  <c:v>86</c:v>
                </c:pt>
                <c:pt idx="10">
                  <c:v>13</c:v>
                </c:pt>
              </c:numCache>
            </c:numRef>
          </c:val>
          <c:extLst>
            <c:ext xmlns:c16="http://schemas.microsoft.com/office/drawing/2014/chart" uri="{C3380CC4-5D6E-409C-BE32-E72D297353CC}">
              <c16:uniqueId val="{00000002-FBD0-4D14-900B-7BA30DF345B6}"/>
            </c:ext>
          </c:extLst>
        </c:ser>
        <c:dLbls>
          <c:showLegendKey val="0"/>
          <c:showVal val="0"/>
          <c:showCatName val="0"/>
          <c:showSerName val="0"/>
          <c:showPercent val="0"/>
          <c:showBubbleSize val="0"/>
        </c:dLbls>
        <c:gapWidth val="62"/>
        <c:axId val="553222672"/>
        <c:axId val="553223064"/>
      </c:barChart>
      <c:catAx>
        <c:axId val="5532226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3064"/>
        <c:crosses val="autoZero"/>
        <c:auto val="1"/>
        <c:lblAlgn val="ctr"/>
        <c:lblOffset val="100"/>
        <c:noMultiLvlLbl val="0"/>
      </c:catAx>
      <c:valAx>
        <c:axId val="5532230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r>
                  <a:rPr lang="en-US" b="1">
                    <a:latin typeface="Georgia" panose="02040502050405020303" pitchFamily="18" charset="0"/>
                  </a:rPr>
                  <a:t>Percent of facilities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Georgia" panose="02040502050405020303"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2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5536472075469924E-2"/>
          <c:y val="3.9963680823783911E-2"/>
          <c:w val="0.88939230735270525"/>
          <c:h val="0.67330630840956196"/>
        </c:manualLayout>
      </c:layout>
      <c:barChart>
        <c:barDir val="col"/>
        <c:grouping val="clustered"/>
        <c:varyColors val="0"/>
        <c:ser>
          <c:idx val="1"/>
          <c:order val="0"/>
          <c:tx>
            <c:strRef>
              <c:f>Overall!$C$2</c:f>
              <c:strCache>
                <c:ptCount val="1"/>
                <c:pt idx="0">
                  <c:v>Offering service and reporting data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Overall!$A$3:$A$7</c:f>
              <c:strCache>
                <c:ptCount val="5"/>
                <c:pt idx="0">
                  <c:v>Antenatal 1st Visit</c:v>
                </c:pt>
                <c:pt idx="1">
                  <c:v>Child Immunization</c:v>
                </c:pt>
                <c:pt idx="2">
                  <c:v>Malaria diagnosis and treatment</c:v>
                </c:pt>
                <c:pt idx="3">
                  <c:v>TB diagnosis and treatment</c:v>
                </c:pt>
                <c:pt idx="4">
                  <c:v>Anti-retroviral treatment for HIV</c:v>
                </c:pt>
              </c:strCache>
            </c:strRef>
          </c:cat>
          <c:val>
            <c:numRef>
              <c:f>Overall!$C$3:$C$7</c:f>
              <c:numCache>
                <c:formatCode>0</c:formatCode>
                <c:ptCount val="5"/>
                <c:pt idx="0">
                  <c:v>100</c:v>
                </c:pt>
                <c:pt idx="1">
                  <c:v>97.76</c:v>
                </c:pt>
                <c:pt idx="2">
                  <c:v>100</c:v>
                </c:pt>
                <c:pt idx="3">
                  <c:v>93.26</c:v>
                </c:pt>
                <c:pt idx="4">
                  <c:v>94</c:v>
                </c:pt>
              </c:numCache>
            </c:numRef>
          </c:val>
          <c:extLst>
            <c:ext xmlns:c16="http://schemas.microsoft.com/office/drawing/2014/chart" uri="{C3380CC4-5D6E-409C-BE32-E72D297353CC}">
              <c16:uniqueId val="{00000000-A544-47FD-9884-32E37CDE6564}"/>
            </c:ext>
          </c:extLst>
        </c:ser>
        <c:ser>
          <c:idx val="2"/>
          <c:order val="1"/>
          <c:tx>
            <c:strRef>
              <c:f>Overall!$D$2</c:f>
              <c:strCache>
                <c:ptCount val="1"/>
                <c:pt idx="0">
                  <c:v>Availability of source docs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Overall!$A$3:$A$7</c:f>
              <c:strCache>
                <c:ptCount val="5"/>
                <c:pt idx="0">
                  <c:v>Antenatal 1st Visit</c:v>
                </c:pt>
                <c:pt idx="1">
                  <c:v>Child Immunization</c:v>
                </c:pt>
                <c:pt idx="2">
                  <c:v>Malaria diagnosis and treatment</c:v>
                </c:pt>
                <c:pt idx="3">
                  <c:v>TB diagnosis and treatment</c:v>
                </c:pt>
                <c:pt idx="4">
                  <c:v>Anti-retroviral treatment for HIV</c:v>
                </c:pt>
              </c:strCache>
            </c:strRef>
          </c:cat>
          <c:val>
            <c:numRef>
              <c:f>Overall!$D$3:$D$7</c:f>
              <c:numCache>
                <c:formatCode>0</c:formatCode>
                <c:ptCount val="5"/>
                <c:pt idx="0">
                  <c:v>96.97</c:v>
                </c:pt>
                <c:pt idx="1">
                  <c:v>96.95</c:v>
                </c:pt>
                <c:pt idx="2">
                  <c:v>97.22</c:v>
                </c:pt>
                <c:pt idx="3">
                  <c:v>100</c:v>
                </c:pt>
                <c:pt idx="4">
                  <c:v>93.62</c:v>
                </c:pt>
              </c:numCache>
            </c:numRef>
          </c:val>
          <c:extLst>
            <c:ext xmlns:c16="http://schemas.microsoft.com/office/drawing/2014/chart" uri="{C3380CC4-5D6E-409C-BE32-E72D297353CC}">
              <c16:uniqueId val="{00000001-A544-47FD-9884-32E37CDE6564}"/>
            </c:ext>
          </c:extLst>
        </c:ser>
        <c:ser>
          <c:idx val="3"/>
          <c:order val="2"/>
          <c:tx>
            <c:strRef>
              <c:f>Overall!$E$2</c:f>
              <c:strCache>
                <c:ptCount val="1"/>
                <c:pt idx="0">
                  <c:v>Availability of reporting docs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Overall!$A$3:$A$7</c:f>
              <c:strCache>
                <c:ptCount val="5"/>
                <c:pt idx="0">
                  <c:v>Antenatal 1st Visit</c:v>
                </c:pt>
                <c:pt idx="1">
                  <c:v>Child Immunization</c:v>
                </c:pt>
                <c:pt idx="2">
                  <c:v>Malaria diagnosis and treatment</c:v>
                </c:pt>
                <c:pt idx="3">
                  <c:v>TB diagnosis and treatment</c:v>
                </c:pt>
                <c:pt idx="4">
                  <c:v>Anti-retroviral treatment for HIV</c:v>
                </c:pt>
              </c:strCache>
            </c:strRef>
          </c:cat>
          <c:val>
            <c:numRef>
              <c:f>Overall!$E$3:$E$7</c:f>
              <c:numCache>
                <c:formatCode>0</c:formatCode>
                <c:ptCount val="5"/>
                <c:pt idx="0">
                  <c:v>97.73</c:v>
                </c:pt>
                <c:pt idx="1">
                  <c:v>98.47</c:v>
                </c:pt>
                <c:pt idx="2">
                  <c:v>97.22</c:v>
                </c:pt>
                <c:pt idx="3">
                  <c:v>86.75</c:v>
                </c:pt>
                <c:pt idx="4">
                  <c:v>94</c:v>
                </c:pt>
              </c:numCache>
            </c:numRef>
          </c:val>
          <c:extLst>
            <c:ext xmlns:c16="http://schemas.microsoft.com/office/drawing/2014/chart" uri="{C3380CC4-5D6E-409C-BE32-E72D297353CC}">
              <c16:uniqueId val="{00000002-A544-47FD-9884-32E37CDE6564}"/>
            </c:ext>
          </c:extLst>
        </c:ser>
        <c:dLbls>
          <c:dLblPos val="inEnd"/>
          <c:showLegendKey val="0"/>
          <c:showVal val="1"/>
          <c:showCatName val="0"/>
          <c:showSerName val="0"/>
          <c:showPercent val="0"/>
          <c:showBubbleSize val="0"/>
        </c:dLbls>
        <c:gapWidth val="100"/>
        <c:overlap val="-24"/>
        <c:axId val="553223848"/>
        <c:axId val="553224240"/>
      </c:barChart>
      <c:catAx>
        <c:axId val="553223848"/>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3224240"/>
        <c:crosses val="autoZero"/>
        <c:auto val="1"/>
        <c:lblAlgn val="ctr"/>
        <c:lblOffset val="100"/>
        <c:noMultiLvlLbl val="0"/>
      </c:catAx>
      <c:valAx>
        <c:axId val="553224240"/>
        <c:scaling>
          <c:orientation val="minMax"/>
          <c:max val="100"/>
          <c:min val="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ZA"/>
                  <a:t>Percent of facilities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3223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8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357102529576904E-2"/>
          <c:y val="3.6504418419549434E-2"/>
          <c:w val="0.90959431707187643"/>
          <c:h val="0.62301488736672139"/>
        </c:manualLayout>
      </c:layout>
      <c:barChart>
        <c:barDir val="col"/>
        <c:grouping val="clustered"/>
        <c:varyColors val="0"/>
        <c:ser>
          <c:idx val="0"/>
          <c:order val="0"/>
          <c:tx>
            <c:strRef>
              <c:f>'ANC1'!$F$2</c:f>
              <c:strCache>
                <c:ptCount val="1"/>
                <c:pt idx="0">
                  <c:v>Availability of source docs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'ANC1'!$A$3:$B$13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'ANC1'!$F$3:$F$13</c:f>
              <c:numCache>
                <c:formatCode>0</c:formatCode>
                <c:ptCount val="11"/>
                <c:pt idx="0">
                  <c:v>100</c:v>
                </c:pt>
                <c:pt idx="1">
                  <c:v>100</c:v>
                </c:pt>
                <c:pt idx="2">
                  <c:v>100</c:v>
                </c:pt>
                <c:pt idx="3">
                  <c:v>97.56</c:v>
                </c:pt>
                <c:pt idx="4">
                  <c:v>90</c:v>
                </c:pt>
                <c:pt idx="6">
                  <c:v>98.73</c:v>
                </c:pt>
                <c:pt idx="7">
                  <c:v>94.34</c:v>
                </c:pt>
                <c:pt idx="9">
                  <c:v>96.88</c:v>
                </c:pt>
                <c:pt idx="10">
                  <c:v>97.06</c:v>
                </c:pt>
              </c:numCache>
            </c:numRef>
          </c:val>
          <c:extLst>
            <c:ext xmlns:c16="http://schemas.microsoft.com/office/drawing/2014/chart" uri="{C3380CC4-5D6E-409C-BE32-E72D297353CC}">
              <c16:uniqueId val="{00000000-7AA8-4972-AB2A-381286072408}"/>
            </c:ext>
          </c:extLst>
        </c:ser>
        <c:ser>
          <c:idx val="1"/>
          <c:order val="1"/>
          <c:tx>
            <c:strRef>
              <c:f>'ANC1'!$G$2</c:f>
              <c:strCache>
                <c:ptCount val="1"/>
                <c:pt idx="0">
                  <c:v>Availability of reporting docs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'ANC1'!$A$3:$B$13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'ANC1'!$G$3:$G$13</c:f>
              <c:numCache>
                <c:formatCode>0</c:formatCode>
                <c:ptCount val="11"/>
                <c:pt idx="0">
                  <c:v>100</c:v>
                </c:pt>
                <c:pt idx="1">
                  <c:v>96.3</c:v>
                </c:pt>
                <c:pt idx="2">
                  <c:v>100</c:v>
                </c:pt>
                <c:pt idx="3">
                  <c:v>100</c:v>
                </c:pt>
                <c:pt idx="4">
                  <c:v>93.33</c:v>
                </c:pt>
                <c:pt idx="6">
                  <c:v>100</c:v>
                </c:pt>
                <c:pt idx="7">
                  <c:v>94.34</c:v>
                </c:pt>
                <c:pt idx="9">
                  <c:v>95.31</c:v>
                </c:pt>
                <c:pt idx="10">
                  <c:v>100</c:v>
                </c:pt>
              </c:numCache>
            </c:numRef>
          </c:val>
          <c:extLst>
            <c:ext xmlns:c16="http://schemas.microsoft.com/office/drawing/2014/chart" uri="{C3380CC4-5D6E-409C-BE32-E72D297353CC}">
              <c16:uniqueId val="{00000001-7AA8-4972-AB2A-381286072408}"/>
            </c:ext>
          </c:extLst>
        </c:ser>
        <c:dLbls>
          <c:showLegendKey val="0"/>
          <c:showVal val="0"/>
          <c:showCatName val="0"/>
          <c:showSerName val="0"/>
          <c:showPercent val="0"/>
          <c:showBubbleSize val="0"/>
        </c:dLbls>
        <c:gapWidth val="30"/>
        <c:overlap val="-2"/>
        <c:axId val="553225024"/>
        <c:axId val="553225416"/>
      </c:barChart>
      <c:catAx>
        <c:axId val="55322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5416"/>
        <c:crosses val="autoZero"/>
        <c:auto val="1"/>
        <c:lblAlgn val="ctr"/>
        <c:lblOffset val="100"/>
        <c:noMultiLvlLbl val="0"/>
      </c:catAx>
      <c:valAx>
        <c:axId val="553225416"/>
        <c:scaling>
          <c:orientation val="minMax"/>
          <c:max val="1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2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079076653879792E-2"/>
          <c:y val="3.657522859517872E-2"/>
          <c:w val="0.90402823578676594"/>
          <c:h val="0.4935883799865331"/>
        </c:manualLayout>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Pt>
            <c:idx val="23"/>
            <c:invertIfNegative val="0"/>
            <c:bubble3D val="0"/>
            <c:spPr>
              <a:solidFill>
                <a:srgbClr val="00B050"/>
              </a:solidFill>
              <a:ln>
                <a:noFill/>
              </a:ln>
              <a:effectLst/>
            </c:spPr>
            <c:extLst>
              <c:ext xmlns:c16="http://schemas.microsoft.com/office/drawing/2014/chart" uri="{C3380CC4-5D6E-409C-BE32-E72D297353CC}">
                <c16:uniqueId val="{00000001-67F9-4DDF-839E-303FAEEC2A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EPI!$A$3:$B$26</c:f>
              <c:multiLvlStrCache>
                <c:ptCount val="24"/>
                <c:lvl>
                  <c:pt idx="0">
                    <c:v>National Referal Hospital</c:v>
                  </c:pt>
                  <c:pt idx="1">
                    <c:v>General Hospital</c:v>
                  </c:pt>
                  <c:pt idx="2">
                    <c:v>HC IV</c:v>
                  </c:pt>
                  <c:pt idx="3">
                    <c:v>HC III</c:v>
                  </c:pt>
                  <c:pt idx="4">
                    <c:v>HC II</c:v>
                  </c:pt>
                  <c:pt idx="6">
                    <c:v>Public/G</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c:v>
                  </c:pt>
                  <c:pt idx="6">
                    <c:v>Authority</c:v>
                  </c:pt>
                  <c:pt idx="9">
                    <c:v>Location</c:v>
                  </c:pt>
                  <c:pt idx="12">
                    <c:v>Health Region</c:v>
                  </c:pt>
                  <c:pt idx="23">
                    <c:v>Uganda </c:v>
                  </c:pt>
                </c:lvl>
              </c:multiLvlStrCache>
            </c:multiLvlStrRef>
          </c:cat>
          <c:val>
            <c:numRef>
              <c:f>EPI!$E$3:$E$26</c:f>
              <c:numCache>
                <c:formatCode>0</c:formatCode>
                <c:ptCount val="24"/>
                <c:pt idx="0">
                  <c:v>100</c:v>
                </c:pt>
                <c:pt idx="1">
                  <c:v>96.3</c:v>
                </c:pt>
                <c:pt idx="2">
                  <c:v>95.83</c:v>
                </c:pt>
                <c:pt idx="3">
                  <c:v>100</c:v>
                </c:pt>
                <c:pt idx="4">
                  <c:v>96.97</c:v>
                </c:pt>
                <c:pt idx="6">
                  <c:v>97.62</c:v>
                </c:pt>
                <c:pt idx="7">
                  <c:v>98</c:v>
                </c:pt>
                <c:pt idx="9">
                  <c:v>96.72</c:v>
                </c:pt>
                <c:pt idx="10">
                  <c:v>98.63</c:v>
                </c:pt>
                <c:pt idx="12">
                  <c:v>100</c:v>
                </c:pt>
                <c:pt idx="13">
                  <c:v>100</c:v>
                </c:pt>
                <c:pt idx="14">
                  <c:v>93.75</c:v>
                </c:pt>
                <c:pt idx="15">
                  <c:v>100</c:v>
                </c:pt>
                <c:pt idx="16">
                  <c:v>88.89</c:v>
                </c:pt>
                <c:pt idx="17">
                  <c:v>100</c:v>
                </c:pt>
                <c:pt idx="18">
                  <c:v>100</c:v>
                </c:pt>
                <c:pt idx="19">
                  <c:v>100</c:v>
                </c:pt>
                <c:pt idx="20">
                  <c:v>100</c:v>
                </c:pt>
                <c:pt idx="21">
                  <c:v>100</c:v>
                </c:pt>
                <c:pt idx="23">
                  <c:v>97.76</c:v>
                </c:pt>
              </c:numCache>
            </c:numRef>
          </c:val>
          <c:extLst>
            <c:ext xmlns:c16="http://schemas.microsoft.com/office/drawing/2014/chart" uri="{C3380CC4-5D6E-409C-BE32-E72D297353CC}">
              <c16:uniqueId val="{00000002-67F9-4DDF-839E-303FAEEC2A7E}"/>
            </c:ext>
          </c:extLst>
        </c:ser>
        <c:dLbls>
          <c:showLegendKey val="0"/>
          <c:showVal val="0"/>
          <c:showCatName val="0"/>
          <c:showSerName val="0"/>
          <c:showPercent val="0"/>
          <c:showBubbleSize val="0"/>
        </c:dLbls>
        <c:gapWidth val="50"/>
        <c:overlap val="-20"/>
        <c:axId val="552995232"/>
        <c:axId val="552995624"/>
      </c:barChart>
      <c:catAx>
        <c:axId val="55299523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2995624"/>
        <c:crosses val="autoZero"/>
        <c:auto val="1"/>
        <c:lblAlgn val="ctr"/>
        <c:lblOffset val="100"/>
        <c:noMultiLvlLbl val="0"/>
      </c:catAx>
      <c:valAx>
        <c:axId val="552995624"/>
        <c:scaling>
          <c:orientation val="minMax"/>
          <c:max val="100"/>
          <c:min val="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Percentage of facilities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2995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9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924078527840923E-2"/>
          <c:y val="4.0348458180570472E-2"/>
          <c:w val="0.87962031942659891"/>
          <c:h val="0.60886337969240067"/>
        </c:manualLayout>
      </c:layout>
      <c:barChart>
        <c:barDir val="col"/>
        <c:grouping val="clustered"/>
        <c:varyColors val="0"/>
        <c:ser>
          <c:idx val="0"/>
          <c:order val="0"/>
          <c:tx>
            <c:strRef>
              <c:f>EPI!$F$2</c:f>
              <c:strCache>
                <c:ptCount val="1"/>
                <c:pt idx="0">
                  <c:v>Availability of source docs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EPI!$A$3:$B$13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EPI!$F$3:$F$13</c:f>
              <c:numCache>
                <c:formatCode>0</c:formatCode>
                <c:ptCount val="11"/>
                <c:pt idx="0">
                  <c:v>100</c:v>
                </c:pt>
                <c:pt idx="1">
                  <c:v>92.31</c:v>
                </c:pt>
                <c:pt idx="2">
                  <c:v>95.65</c:v>
                </c:pt>
                <c:pt idx="3">
                  <c:v>100</c:v>
                </c:pt>
                <c:pt idx="4">
                  <c:v>96.88</c:v>
                </c:pt>
                <c:pt idx="6">
                  <c:v>97.56</c:v>
                </c:pt>
                <c:pt idx="7">
                  <c:v>95.92</c:v>
                </c:pt>
                <c:pt idx="9">
                  <c:v>94.92</c:v>
                </c:pt>
                <c:pt idx="10">
                  <c:v>98.61</c:v>
                </c:pt>
              </c:numCache>
            </c:numRef>
          </c:val>
          <c:extLst>
            <c:ext xmlns:c16="http://schemas.microsoft.com/office/drawing/2014/chart" uri="{C3380CC4-5D6E-409C-BE32-E72D297353CC}">
              <c16:uniqueId val="{00000000-4EB6-4840-83DC-CAFE25EAF40F}"/>
            </c:ext>
          </c:extLst>
        </c:ser>
        <c:ser>
          <c:idx val="1"/>
          <c:order val="1"/>
          <c:tx>
            <c:strRef>
              <c:f>EPI!$G$2</c:f>
              <c:strCache>
                <c:ptCount val="1"/>
                <c:pt idx="0">
                  <c:v>Availability of reporting docs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EPI!$A$3:$B$13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EPI!$G$3:$G$13</c:f>
              <c:numCache>
                <c:formatCode>0</c:formatCode>
                <c:ptCount val="11"/>
                <c:pt idx="0">
                  <c:v>100</c:v>
                </c:pt>
                <c:pt idx="1">
                  <c:v>96.15</c:v>
                </c:pt>
                <c:pt idx="2">
                  <c:v>100</c:v>
                </c:pt>
                <c:pt idx="3">
                  <c:v>100</c:v>
                </c:pt>
                <c:pt idx="4">
                  <c:v>96.88</c:v>
                </c:pt>
                <c:pt idx="6">
                  <c:v>100</c:v>
                </c:pt>
                <c:pt idx="7">
                  <c:v>95.92</c:v>
                </c:pt>
                <c:pt idx="9">
                  <c:v>96.61</c:v>
                </c:pt>
                <c:pt idx="10">
                  <c:v>100</c:v>
                </c:pt>
              </c:numCache>
            </c:numRef>
          </c:val>
          <c:extLst>
            <c:ext xmlns:c16="http://schemas.microsoft.com/office/drawing/2014/chart" uri="{C3380CC4-5D6E-409C-BE32-E72D297353CC}">
              <c16:uniqueId val="{00000001-4EB6-4840-83DC-CAFE25EAF40F}"/>
            </c:ext>
          </c:extLst>
        </c:ser>
        <c:dLbls>
          <c:showLegendKey val="0"/>
          <c:showVal val="0"/>
          <c:showCatName val="0"/>
          <c:showSerName val="0"/>
          <c:showPercent val="0"/>
          <c:showBubbleSize val="0"/>
        </c:dLbls>
        <c:gapWidth val="30"/>
        <c:overlap val="-2"/>
        <c:axId val="552996016"/>
        <c:axId val="552996408"/>
      </c:barChart>
      <c:catAx>
        <c:axId val="55299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996408"/>
        <c:crosses val="autoZero"/>
        <c:auto val="1"/>
        <c:lblAlgn val="ctr"/>
        <c:lblOffset val="100"/>
        <c:noMultiLvlLbl val="0"/>
      </c:catAx>
      <c:valAx>
        <c:axId val="552996408"/>
        <c:scaling>
          <c:orientation val="minMax"/>
          <c:max val="1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facilities</a:t>
                </a:r>
              </a:p>
            </c:rich>
          </c:tx>
          <c:layout>
            <c:manualLayout>
              <c:xMode val="edge"/>
              <c:yMode val="edge"/>
              <c:x val="2.0455602045560205E-2"/>
              <c:y val="0.1845908747210699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996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5100945959467697E-2"/>
          <c:y val="3.9059026940942862E-2"/>
          <c:w val="0.8933936776964464"/>
          <c:h val="0.49080027598176246"/>
        </c:manualLayout>
      </c:layout>
      <c:barChart>
        <c:barDir val="col"/>
        <c:grouping val="clustered"/>
        <c:varyColors val="0"/>
        <c:ser>
          <c:idx val="0"/>
          <c:order val="0"/>
          <c:tx>
            <c:strRef>
              <c:f>ART!$E$2</c:f>
              <c:strCache>
                <c:ptCount val="1"/>
                <c:pt idx="0">
                  <c:v>Reports to HMIS</c:v>
                </c:pt>
              </c:strCache>
            </c:strRef>
          </c:tx>
          <c:spPr>
            <a:solidFill>
              <a:schemeClr val="accent1"/>
            </a:solidFill>
            <a:ln>
              <a:noFill/>
            </a:ln>
            <a:effectLst/>
          </c:spPr>
          <c:invertIfNegative val="0"/>
          <c:dPt>
            <c:idx val="23"/>
            <c:invertIfNegative val="0"/>
            <c:bubble3D val="0"/>
            <c:spPr>
              <a:solidFill>
                <a:srgbClr val="00B050"/>
              </a:solidFill>
              <a:ln>
                <a:noFill/>
              </a:ln>
              <a:effectLst/>
            </c:spPr>
            <c:extLst>
              <c:ext xmlns:c16="http://schemas.microsoft.com/office/drawing/2014/chart" uri="{C3380CC4-5D6E-409C-BE32-E72D297353CC}">
                <c16:uniqueId val="{00000001-9C10-4318-AA43-05DBF741980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ART!$A$3:$B$26</c:f>
              <c:multiLvlStrCache>
                <c:ptCount val="24"/>
                <c:lvl>
                  <c:pt idx="0">
                    <c:v>National Referal Hospital</c:v>
                  </c:pt>
                  <c:pt idx="1">
                    <c:v>General Hospital</c:v>
                  </c:pt>
                  <c:pt idx="2">
                    <c:v>HC IV</c:v>
                  </c:pt>
                  <c:pt idx="3">
                    <c:v>HC III</c:v>
                  </c:pt>
                  <c:pt idx="4">
                    <c:v>HC II</c:v>
                  </c:pt>
                  <c:pt idx="6">
                    <c:v>Public/G</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c:v>
                  </c:pt>
                  <c:pt idx="6">
                    <c:v>Authority</c:v>
                  </c:pt>
                  <c:pt idx="9">
                    <c:v>Location</c:v>
                  </c:pt>
                  <c:pt idx="12">
                    <c:v>Health Region</c:v>
                  </c:pt>
                  <c:pt idx="23">
                    <c:v>Uganda </c:v>
                  </c:pt>
                </c:lvl>
              </c:multiLvlStrCache>
            </c:multiLvlStrRef>
          </c:cat>
          <c:val>
            <c:numRef>
              <c:f>ART!$E$3:$E$26</c:f>
              <c:numCache>
                <c:formatCode>0</c:formatCode>
                <c:ptCount val="24"/>
                <c:pt idx="0">
                  <c:v>100</c:v>
                </c:pt>
                <c:pt idx="1">
                  <c:v>80.95</c:v>
                </c:pt>
                <c:pt idx="2">
                  <c:v>100</c:v>
                </c:pt>
                <c:pt idx="3">
                  <c:v>97.14</c:v>
                </c:pt>
                <c:pt idx="4">
                  <c:v>90</c:v>
                </c:pt>
                <c:pt idx="6">
                  <c:v>98.55</c:v>
                </c:pt>
                <c:pt idx="7">
                  <c:v>83.87</c:v>
                </c:pt>
                <c:pt idx="9">
                  <c:v>89.36</c:v>
                </c:pt>
                <c:pt idx="10">
                  <c:v>98.11</c:v>
                </c:pt>
                <c:pt idx="12">
                  <c:v>93.75</c:v>
                </c:pt>
                <c:pt idx="13">
                  <c:v>100</c:v>
                </c:pt>
                <c:pt idx="14">
                  <c:v>75</c:v>
                </c:pt>
                <c:pt idx="15">
                  <c:v>100</c:v>
                </c:pt>
                <c:pt idx="16">
                  <c:v>92.31</c:v>
                </c:pt>
                <c:pt idx="17">
                  <c:v>90.91</c:v>
                </c:pt>
                <c:pt idx="18">
                  <c:v>100</c:v>
                </c:pt>
                <c:pt idx="19">
                  <c:v>100</c:v>
                </c:pt>
                <c:pt idx="20">
                  <c:v>94.74</c:v>
                </c:pt>
                <c:pt idx="21">
                  <c:v>100</c:v>
                </c:pt>
                <c:pt idx="23">
                  <c:v>94</c:v>
                </c:pt>
              </c:numCache>
            </c:numRef>
          </c:val>
          <c:extLst>
            <c:ext xmlns:c16="http://schemas.microsoft.com/office/drawing/2014/chart" uri="{C3380CC4-5D6E-409C-BE32-E72D297353CC}">
              <c16:uniqueId val="{00000002-9C10-4318-AA43-05DBF7419804}"/>
            </c:ext>
          </c:extLst>
        </c:ser>
        <c:dLbls>
          <c:showLegendKey val="0"/>
          <c:showVal val="0"/>
          <c:showCatName val="0"/>
          <c:showSerName val="0"/>
          <c:showPercent val="0"/>
          <c:showBubbleSize val="0"/>
        </c:dLbls>
        <c:gapWidth val="50"/>
        <c:overlap val="-20"/>
        <c:axId val="552997584"/>
        <c:axId val="552997976"/>
      </c:barChart>
      <c:catAx>
        <c:axId val="55299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997976"/>
        <c:crosses val="autoZero"/>
        <c:auto val="1"/>
        <c:lblAlgn val="ctr"/>
        <c:lblOffset val="100"/>
        <c:noMultiLvlLbl val="0"/>
      </c:catAx>
      <c:valAx>
        <c:axId val="55299797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9975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29982857807186"/>
          <c:y val="4.3456769846165526E-2"/>
          <c:w val="0.87543309009833414"/>
          <c:h val="0.5743983455243552"/>
        </c:manualLayout>
      </c:layout>
      <c:barChart>
        <c:barDir val="col"/>
        <c:grouping val="clustered"/>
        <c:varyColors val="0"/>
        <c:ser>
          <c:idx val="0"/>
          <c:order val="0"/>
          <c:tx>
            <c:strRef>
              <c:f>ART!$F$2</c:f>
              <c:strCache>
                <c:ptCount val="1"/>
                <c:pt idx="0">
                  <c:v>Availability of source docs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ART!$A$3:$B$13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ART!$F$3:$F$13</c:f>
              <c:numCache>
                <c:formatCode>0</c:formatCode>
                <c:ptCount val="11"/>
                <c:pt idx="0">
                  <c:v>100</c:v>
                </c:pt>
                <c:pt idx="1">
                  <c:v>94.12</c:v>
                </c:pt>
                <c:pt idx="2">
                  <c:v>91.67</c:v>
                </c:pt>
                <c:pt idx="3">
                  <c:v>94.12</c:v>
                </c:pt>
                <c:pt idx="4">
                  <c:v>88.89</c:v>
                </c:pt>
                <c:pt idx="6">
                  <c:v>97.06</c:v>
                </c:pt>
                <c:pt idx="7">
                  <c:v>84.62</c:v>
                </c:pt>
                <c:pt idx="9">
                  <c:v>88.1</c:v>
                </c:pt>
                <c:pt idx="10">
                  <c:v>98.08</c:v>
                </c:pt>
              </c:numCache>
            </c:numRef>
          </c:val>
          <c:extLst>
            <c:ext xmlns:c16="http://schemas.microsoft.com/office/drawing/2014/chart" uri="{C3380CC4-5D6E-409C-BE32-E72D297353CC}">
              <c16:uniqueId val="{00000000-58AB-4285-88CC-9825C9597009}"/>
            </c:ext>
          </c:extLst>
        </c:ser>
        <c:ser>
          <c:idx val="1"/>
          <c:order val="1"/>
          <c:tx>
            <c:strRef>
              <c:f>ART!$G$2</c:f>
              <c:strCache>
                <c:ptCount val="1"/>
                <c:pt idx="0">
                  <c:v>Availability of reporting docs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ART!$A$3:$B$13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ART!$G$3:$G$13</c:f>
              <c:numCache>
                <c:formatCode>0</c:formatCode>
                <c:ptCount val="11"/>
                <c:pt idx="0">
                  <c:v>90</c:v>
                </c:pt>
                <c:pt idx="1">
                  <c:v>100</c:v>
                </c:pt>
                <c:pt idx="2">
                  <c:v>95.83</c:v>
                </c:pt>
                <c:pt idx="3">
                  <c:v>97.06</c:v>
                </c:pt>
                <c:pt idx="4">
                  <c:v>88.89</c:v>
                </c:pt>
                <c:pt idx="6">
                  <c:v>97.06</c:v>
                </c:pt>
                <c:pt idx="7">
                  <c:v>92.31</c:v>
                </c:pt>
                <c:pt idx="9">
                  <c:v>90.48</c:v>
                </c:pt>
                <c:pt idx="10">
                  <c:v>100</c:v>
                </c:pt>
              </c:numCache>
            </c:numRef>
          </c:val>
          <c:extLst>
            <c:ext xmlns:c16="http://schemas.microsoft.com/office/drawing/2014/chart" uri="{C3380CC4-5D6E-409C-BE32-E72D297353CC}">
              <c16:uniqueId val="{00000001-58AB-4285-88CC-9825C9597009}"/>
            </c:ext>
          </c:extLst>
        </c:ser>
        <c:dLbls>
          <c:showLegendKey val="0"/>
          <c:showVal val="0"/>
          <c:showCatName val="0"/>
          <c:showSerName val="0"/>
          <c:showPercent val="0"/>
          <c:showBubbleSize val="0"/>
        </c:dLbls>
        <c:gapWidth val="30"/>
        <c:overlap val="-2"/>
        <c:axId val="552998368"/>
        <c:axId val="552998760"/>
      </c:barChart>
      <c:catAx>
        <c:axId val="552998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998760"/>
        <c:crosses val="autoZero"/>
        <c:auto val="1"/>
        <c:lblAlgn val="ctr"/>
        <c:lblOffset val="100"/>
        <c:noMultiLvlLbl val="0"/>
      </c:catAx>
      <c:valAx>
        <c:axId val="552998760"/>
        <c:scaling>
          <c:orientation val="minMax"/>
          <c:max val="1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998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536368202814916E-2"/>
          <c:y val="3.6666676290466216E-2"/>
          <c:w val="0.89752255290345395"/>
          <c:h val="0.45660257104404189"/>
        </c:manualLayout>
      </c:layout>
      <c:barChart>
        <c:barDir val="col"/>
        <c:grouping val="clustered"/>
        <c:varyColors val="0"/>
        <c:ser>
          <c:idx val="0"/>
          <c:order val="0"/>
          <c:tx>
            <c:strRef>
              <c:f>TB!$E$2</c:f>
              <c:strCache>
                <c:ptCount val="1"/>
                <c:pt idx="0">
                  <c:v>Reports to HMIS</c:v>
                </c:pt>
              </c:strCache>
            </c:strRef>
          </c:tx>
          <c:spPr>
            <a:solidFill>
              <a:schemeClr val="accent1"/>
            </a:solidFill>
            <a:ln>
              <a:noFill/>
            </a:ln>
            <a:effectLst/>
          </c:spPr>
          <c:invertIfNegative val="0"/>
          <c:dPt>
            <c:idx val="23"/>
            <c:invertIfNegative val="0"/>
            <c:bubble3D val="0"/>
            <c:spPr>
              <a:solidFill>
                <a:srgbClr val="00B050"/>
              </a:solidFill>
              <a:ln>
                <a:noFill/>
              </a:ln>
              <a:effectLst/>
            </c:spPr>
            <c:extLst>
              <c:ext xmlns:c16="http://schemas.microsoft.com/office/drawing/2014/chart" uri="{C3380CC4-5D6E-409C-BE32-E72D297353CC}">
                <c16:uniqueId val="{00000001-F94A-4F2A-A062-864C1645D7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TB!$A$3:$B$26</c:f>
              <c:multiLvlStrCache>
                <c:ptCount val="24"/>
                <c:lvl>
                  <c:pt idx="0">
                    <c:v>National Referal Hospital</c:v>
                  </c:pt>
                  <c:pt idx="1">
                    <c:v>General Hospital</c:v>
                  </c:pt>
                  <c:pt idx="2">
                    <c:v>HC IV</c:v>
                  </c:pt>
                  <c:pt idx="3">
                    <c:v>HC III</c:v>
                  </c:pt>
                  <c:pt idx="4">
                    <c:v>HC II</c:v>
                  </c:pt>
                  <c:pt idx="6">
                    <c:v>Public/G</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c:v>
                  </c:pt>
                  <c:pt idx="6">
                    <c:v>Authority</c:v>
                  </c:pt>
                  <c:pt idx="9">
                    <c:v>Location</c:v>
                  </c:pt>
                  <c:pt idx="12">
                    <c:v>Health Region</c:v>
                  </c:pt>
                  <c:pt idx="23">
                    <c:v>Uganda </c:v>
                  </c:pt>
                </c:lvl>
              </c:multiLvlStrCache>
            </c:multiLvlStrRef>
          </c:cat>
          <c:val>
            <c:numRef>
              <c:f>TB!$E$3:$E$26</c:f>
              <c:numCache>
                <c:formatCode>0</c:formatCode>
                <c:ptCount val="24"/>
                <c:pt idx="0">
                  <c:v>100</c:v>
                </c:pt>
                <c:pt idx="1">
                  <c:v>83.33</c:v>
                </c:pt>
                <c:pt idx="2">
                  <c:v>100</c:v>
                </c:pt>
                <c:pt idx="3">
                  <c:v>97.06</c:v>
                </c:pt>
                <c:pt idx="4">
                  <c:v>50</c:v>
                </c:pt>
                <c:pt idx="6">
                  <c:v>96.88</c:v>
                </c:pt>
                <c:pt idx="7">
                  <c:v>84</c:v>
                </c:pt>
                <c:pt idx="9">
                  <c:v>95.24</c:v>
                </c:pt>
                <c:pt idx="10">
                  <c:v>91.49</c:v>
                </c:pt>
                <c:pt idx="12">
                  <c:v>84.62</c:v>
                </c:pt>
                <c:pt idx="13">
                  <c:v>100</c:v>
                </c:pt>
                <c:pt idx="14">
                  <c:v>87.5</c:v>
                </c:pt>
                <c:pt idx="15">
                  <c:v>100</c:v>
                </c:pt>
                <c:pt idx="16">
                  <c:v>100</c:v>
                </c:pt>
                <c:pt idx="17">
                  <c:v>91.67</c:v>
                </c:pt>
                <c:pt idx="18">
                  <c:v>100</c:v>
                </c:pt>
                <c:pt idx="19">
                  <c:v>100</c:v>
                </c:pt>
                <c:pt idx="20">
                  <c:v>87.5</c:v>
                </c:pt>
                <c:pt idx="21">
                  <c:v>100</c:v>
                </c:pt>
                <c:pt idx="23">
                  <c:v>93.26</c:v>
                </c:pt>
              </c:numCache>
            </c:numRef>
          </c:val>
          <c:extLst>
            <c:ext xmlns:c16="http://schemas.microsoft.com/office/drawing/2014/chart" uri="{C3380CC4-5D6E-409C-BE32-E72D297353CC}">
              <c16:uniqueId val="{00000002-F94A-4F2A-A062-864C1645D72B}"/>
            </c:ext>
          </c:extLst>
        </c:ser>
        <c:dLbls>
          <c:showLegendKey val="0"/>
          <c:showVal val="0"/>
          <c:showCatName val="0"/>
          <c:showSerName val="0"/>
          <c:showPercent val="0"/>
          <c:showBubbleSize val="0"/>
        </c:dLbls>
        <c:gapWidth val="50"/>
        <c:overlap val="-20"/>
        <c:axId val="552999936"/>
        <c:axId val="553000328"/>
      </c:barChart>
      <c:catAx>
        <c:axId val="55299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00328"/>
        <c:crosses val="autoZero"/>
        <c:auto val="1"/>
        <c:lblAlgn val="ctr"/>
        <c:lblOffset val="100"/>
        <c:noMultiLvlLbl val="0"/>
      </c:catAx>
      <c:valAx>
        <c:axId val="553000328"/>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999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791484312248794E-2"/>
          <c:y val="4.800872061055271E-2"/>
          <c:w val="0.89887210744565216"/>
          <c:h val="0.58214199309389225"/>
        </c:manualLayout>
      </c:layout>
      <c:barChart>
        <c:barDir val="col"/>
        <c:grouping val="clustered"/>
        <c:varyColors val="0"/>
        <c:ser>
          <c:idx val="0"/>
          <c:order val="0"/>
          <c:tx>
            <c:strRef>
              <c:f>TB!$F$2</c:f>
              <c:strCache>
                <c:ptCount val="1"/>
                <c:pt idx="0">
                  <c:v>Availability of source docs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TB!$A$3:$B$13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TB!$F$3:$F$13</c:f>
              <c:numCache>
                <c:formatCode>0</c:formatCode>
                <c:ptCount val="11"/>
                <c:pt idx="0">
                  <c:v>100</c:v>
                </c:pt>
                <c:pt idx="1">
                  <c:v>100</c:v>
                </c:pt>
                <c:pt idx="2">
                  <c:v>100</c:v>
                </c:pt>
                <c:pt idx="3">
                  <c:v>100</c:v>
                </c:pt>
                <c:pt idx="4">
                  <c:v>100</c:v>
                </c:pt>
                <c:pt idx="6">
                  <c:v>100</c:v>
                </c:pt>
                <c:pt idx="7">
                  <c:v>100</c:v>
                </c:pt>
                <c:pt idx="9">
                  <c:v>100</c:v>
                </c:pt>
                <c:pt idx="10">
                  <c:v>100</c:v>
                </c:pt>
              </c:numCache>
            </c:numRef>
          </c:val>
          <c:extLst>
            <c:ext xmlns:c16="http://schemas.microsoft.com/office/drawing/2014/chart" uri="{C3380CC4-5D6E-409C-BE32-E72D297353CC}">
              <c16:uniqueId val="{00000000-DEA8-4922-AE6A-A8C5560DD48D}"/>
            </c:ext>
          </c:extLst>
        </c:ser>
        <c:ser>
          <c:idx val="1"/>
          <c:order val="1"/>
          <c:tx>
            <c:strRef>
              <c:f>TB!$G$2</c:f>
              <c:strCache>
                <c:ptCount val="1"/>
                <c:pt idx="0">
                  <c:v>Availability of reporting docs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TB!$A$3:$B$13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TB!$G$3:$G$13</c:f>
              <c:numCache>
                <c:formatCode>0</c:formatCode>
                <c:ptCount val="11"/>
                <c:pt idx="0">
                  <c:v>70</c:v>
                </c:pt>
                <c:pt idx="1">
                  <c:v>93.33</c:v>
                </c:pt>
                <c:pt idx="2">
                  <c:v>100</c:v>
                </c:pt>
                <c:pt idx="3">
                  <c:v>78.790000000000006</c:v>
                </c:pt>
                <c:pt idx="4">
                  <c:v>100</c:v>
                </c:pt>
                <c:pt idx="6">
                  <c:v>88.71</c:v>
                </c:pt>
                <c:pt idx="7">
                  <c:v>80.95</c:v>
                </c:pt>
                <c:pt idx="9">
                  <c:v>87.5</c:v>
                </c:pt>
                <c:pt idx="10">
                  <c:v>86.05</c:v>
                </c:pt>
              </c:numCache>
            </c:numRef>
          </c:val>
          <c:extLst>
            <c:ext xmlns:c16="http://schemas.microsoft.com/office/drawing/2014/chart" uri="{C3380CC4-5D6E-409C-BE32-E72D297353CC}">
              <c16:uniqueId val="{00000001-DEA8-4922-AE6A-A8C5560DD48D}"/>
            </c:ext>
          </c:extLst>
        </c:ser>
        <c:dLbls>
          <c:showLegendKey val="0"/>
          <c:showVal val="0"/>
          <c:showCatName val="0"/>
          <c:showSerName val="0"/>
          <c:showPercent val="0"/>
          <c:showBubbleSize val="0"/>
        </c:dLbls>
        <c:gapWidth val="50"/>
        <c:overlap val="-2"/>
        <c:axId val="553000720"/>
        <c:axId val="553001112"/>
      </c:barChart>
      <c:catAx>
        <c:axId val="553000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01112"/>
        <c:crosses val="autoZero"/>
        <c:auto val="1"/>
        <c:lblAlgn val="ctr"/>
        <c:lblOffset val="100"/>
        <c:noMultiLvlLbl val="0"/>
      </c:catAx>
      <c:valAx>
        <c:axId val="55300111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facilities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000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Malaria!$E$2</c:f>
              <c:strCache>
                <c:ptCount val="1"/>
                <c:pt idx="0">
                  <c:v>Reports to HMIS</c:v>
                </c:pt>
              </c:strCache>
            </c:strRef>
          </c:tx>
          <c:spPr>
            <a:solidFill>
              <a:schemeClr val="accent1"/>
            </a:solidFill>
            <a:ln>
              <a:noFill/>
            </a:ln>
            <a:effectLst/>
          </c:spPr>
          <c:invertIfNegative val="0"/>
          <c:dPt>
            <c:idx val="23"/>
            <c:invertIfNegative val="0"/>
            <c:bubble3D val="0"/>
            <c:spPr>
              <a:solidFill>
                <a:srgbClr val="00B050"/>
              </a:solidFill>
              <a:ln>
                <a:noFill/>
              </a:ln>
              <a:effectLst/>
            </c:spPr>
            <c:extLst>
              <c:ext xmlns:c16="http://schemas.microsoft.com/office/drawing/2014/chart" uri="{C3380CC4-5D6E-409C-BE32-E72D297353CC}">
                <c16:uniqueId val="{00000001-EDE9-47AF-A7D6-8BC200CA50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Malaria!$A$3:$B$26</c:f>
              <c:multiLvlStrCache>
                <c:ptCount val="24"/>
                <c:lvl>
                  <c:pt idx="0">
                    <c:v>National Referal Hospital</c:v>
                  </c:pt>
                  <c:pt idx="1">
                    <c:v>General Hospital</c:v>
                  </c:pt>
                  <c:pt idx="2">
                    <c:v>HC IV</c:v>
                  </c:pt>
                  <c:pt idx="3">
                    <c:v>HC III</c:v>
                  </c:pt>
                  <c:pt idx="4">
                    <c:v>HC II</c:v>
                  </c:pt>
                  <c:pt idx="6">
                    <c:v>Public/G</c:v>
                  </c:pt>
                  <c:pt idx="7">
                    <c:v>Private</c:v>
                  </c:pt>
                  <c:pt idx="9">
                    <c:v>Urban</c:v>
                  </c:pt>
                  <c:pt idx="10">
                    <c:v>Rural</c:v>
                  </c:pt>
                  <c:pt idx="12">
                    <c:v>Central1</c:v>
                  </c:pt>
                  <c:pt idx="13">
                    <c:v>Central2</c:v>
                  </c:pt>
                  <c:pt idx="14">
                    <c:v>Kampala</c:v>
                  </c:pt>
                  <c:pt idx="15">
                    <c:v>Karamoja</c:v>
                  </c:pt>
                  <c:pt idx="16">
                    <c:v>Mid East</c:v>
                  </c:pt>
                  <c:pt idx="17">
                    <c:v>Mid-North</c:v>
                  </c:pt>
                  <c:pt idx="18">
                    <c:v>Mid-West</c:v>
                  </c:pt>
                  <c:pt idx="19">
                    <c:v>North East</c:v>
                  </c:pt>
                  <c:pt idx="20">
                    <c:v>South West</c:v>
                  </c:pt>
                  <c:pt idx="21">
                    <c:v>West Nile</c:v>
                  </c:pt>
                  <c:pt idx="23">
                    <c:v>Uganda </c:v>
                  </c:pt>
                </c:lvl>
                <c:lvl>
                  <c:pt idx="0">
                    <c:v>Level</c:v>
                  </c:pt>
                  <c:pt idx="6">
                    <c:v>Authority</c:v>
                  </c:pt>
                  <c:pt idx="9">
                    <c:v>Location</c:v>
                  </c:pt>
                  <c:pt idx="12">
                    <c:v>Health Region</c:v>
                  </c:pt>
                  <c:pt idx="23">
                    <c:v>Uganda </c:v>
                  </c:pt>
                </c:lvl>
              </c:multiLvlStrCache>
            </c:multiLvlStrRef>
          </c:cat>
          <c:val>
            <c:numRef>
              <c:f>Malaria!$E$3:$E$26</c:f>
              <c:numCache>
                <c:formatCode>0</c:formatCode>
                <c:ptCount val="24"/>
                <c:pt idx="0">
                  <c:v>100</c:v>
                </c:pt>
                <c:pt idx="1">
                  <c:v>100</c:v>
                </c:pt>
                <c:pt idx="2">
                  <c:v>100</c:v>
                </c:pt>
                <c:pt idx="3">
                  <c:v>100</c:v>
                </c:pt>
                <c:pt idx="4">
                  <c:v>100</c:v>
                </c:pt>
                <c:pt idx="6">
                  <c:v>100</c:v>
                </c:pt>
                <c:pt idx="7">
                  <c:v>100</c:v>
                </c:pt>
                <c:pt idx="9">
                  <c:v>100</c:v>
                </c:pt>
                <c:pt idx="10">
                  <c:v>100</c:v>
                </c:pt>
                <c:pt idx="12">
                  <c:v>100</c:v>
                </c:pt>
                <c:pt idx="13">
                  <c:v>100</c:v>
                </c:pt>
                <c:pt idx="14">
                  <c:v>100</c:v>
                </c:pt>
                <c:pt idx="15">
                  <c:v>100</c:v>
                </c:pt>
                <c:pt idx="16">
                  <c:v>100</c:v>
                </c:pt>
                <c:pt idx="17">
                  <c:v>100</c:v>
                </c:pt>
                <c:pt idx="18">
                  <c:v>100</c:v>
                </c:pt>
                <c:pt idx="19">
                  <c:v>100</c:v>
                </c:pt>
                <c:pt idx="20">
                  <c:v>100</c:v>
                </c:pt>
                <c:pt idx="21">
                  <c:v>100</c:v>
                </c:pt>
                <c:pt idx="23">
                  <c:v>100</c:v>
                </c:pt>
              </c:numCache>
            </c:numRef>
          </c:val>
          <c:extLst>
            <c:ext xmlns:c16="http://schemas.microsoft.com/office/drawing/2014/chart" uri="{C3380CC4-5D6E-409C-BE32-E72D297353CC}">
              <c16:uniqueId val="{00000002-EDE9-47AF-A7D6-8BC200CA505B}"/>
            </c:ext>
          </c:extLst>
        </c:ser>
        <c:dLbls>
          <c:showLegendKey val="0"/>
          <c:showVal val="0"/>
          <c:showCatName val="0"/>
          <c:showSerName val="0"/>
          <c:showPercent val="0"/>
          <c:showBubbleSize val="0"/>
        </c:dLbls>
        <c:gapWidth val="50"/>
        <c:overlap val="-20"/>
        <c:axId val="550429928"/>
        <c:axId val="550430320"/>
      </c:barChart>
      <c:catAx>
        <c:axId val="550429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30320"/>
        <c:crosses val="autoZero"/>
        <c:auto val="1"/>
        <c:lblAlgn val="ctr"/>
        <c:lblOffset val="100"/>
        <c:noMultiLvlLbl val="0"/>
      </c:catAx>
      <c:valAx>
        <c:axId val="550430320"/>
        <c:scaling>
          <c:orientation val="minMax"/>
          <c:max val="100"/>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29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80907048049747"/>
          <c:y val="4.3073890993764304E-2"/>
          <c:w val="0.87298115131612419"/>
          <c:h val="0.62509373273344382"/>
        </c:manualLayout>
      </c:layout>
      <c:barChart>
        <c:barDir val="col"/>
        <c:grouping val="clustered"/>
        <c:varyColors val="0"/>
        <c:ser>
          <c:idx val="0"/>
          <c:order val="0"/>
          <c:tx>
            <c:strRef>
              <c:f>Malaria!$F$2</c:f>
              <c:strCache>
                <c:ptCount val="1"/>
                <c:pt idx="0">
                  <c:v>Availability of source docs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Malaria!$A$3:$B$13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Malaria!$F$3:$F$13</c:f>
              <c:numCache>
                <c:formatCode>0</c:formatCode>
                <c:ptCount val="11"/>
                <c:pt idx="0">
                  <c:v>90</c:v>
                </c:pt>
                <c:pt idx="1">
                  <c:v>96.15</c:v>
                </c:pt>
                <c:pt idx="2">
                  <c:v>100</c:v>
                </c:pt>
                <c:pt idx="3">
                  <c:v>97.67</c:v>
                </c:pt>
                <c:pt idx="4">
                  <c:v>97.56</c:v>
                </c:pt>
                <c:pt idx="6">
                  <c:v>97.67</c:v>
                </c:pt>
                <c:pt idx="7">
                  <c:v>96.55</c:v>
                </c:pt>
                <c:pt idx="9">
                  <c:v>95.65</c:v>
                </c:pt>
                <c:pt idx="10">
                  <c:v>98.67</c:v>
                </c:pt>
              </c:numCache>
            </c:numRef>
          </c:val>
          <c:extLst>
            <c:ext xmlns:c16="http://schemas.microsoft.com/office/drawing/2014/chart" uri="{C3380CC4-5D6E-409C-BE32-E72D297353CC}">
              <c16:uniqueId val="{00000000-ABF2-4AE3-A4B8-3F543864FD1A}"/>
            </c:ext>
          </c:extLst>
        </c:ser>
        <c:ser>
          <c:idx val="1"/>
          <c:order val="1"/>
          <c:tx>
            <c:strRef>
              <c:f>Malaria!$G$2</c:f>
              <c:strCache>
                <c:ptCount val="1"/>
                <c:pt idx="0">
                  <c:v>Availability of reporting docs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Malaria!$A$3:$B$13</c:f>
              <c:multiLvlStrCache>
                <c:ptCount val="11"/>
                <c:lvl>
                  <c:pt idx="0">
                    <c:v>National Referal Hospital</c:v>
                  </c:pt>
                  <c:pt idx="1">
                    <c:v>General Hospital</c:v>
                  </c:pt>
                  <c:pt idx="2">
                    <c:v>HC IV</c:v>
                  </c:pt>
                  <c:pt idx="3">
                    <c:v>HC III</c:v>
                  </c:pt>
                  <c:pt idx="4">
                    <c:v>HC II</c:v>
                  </c:pt>
                  <c:pt idx="6">
                    <c:v>Public/G</c:v>
                  </c:pt>
                  <c:pt idx="7">
                    <c:v>Private</c:v>
                  </c:pt>
                  <c:pt idx="9">
                    <c:v>Urban</c:v>
                  </c:pt>
                  <c:pt idx="10">
                    <c:v>Rural</c:v>
                  </c:pt>
                </c:lvl>
                <c:lvl>
                  <c:pt idx="0">
                    <c:v>Level</c:v>
                  </c:pt>
                  <c:pt idx="6">
                    <c:v>Authority</c:v>
                  </c:pt>
                  <c:pt idx="9">
                    <c:v>Location</c:v>
                  </c:pt>
                </c:lvl>
              </c:multiLvlStrCache>
            </c:multiLvlStrRef>
          </c:cat>
          <c:val>
            <c:numRef>
              <c:f>Malaria!$G$3:$G$13</c:f>
              <c:numCache>
                <c:formatCode>0</c:formatCode>
                <c:ptCount val="11"/>
                <c:pt idx="0">
                  <c:v>90</c:v>
                </c:pt>
                <c:pt idx="1">
                  <c:v>96.15</c:v>
                </c:pt>
                <c:pt idx="2">
                  <c:v>100</c:v>
                </c:pt>
                <c:pt idx="3">
                  <c:v>100</c:v>
                </c:pt>
                <c:pt idx="4">
                  <c:v>95.12</c:v>
                </c:pt>
                <c:pt idx="6">
                  <c:v>98.84</c:v>
                </c:pt>
                <c:pt idx="7">
                  <c:v>94.83</c:v>
                </c:pt>
                <c:pt idx="9">
                  <c:v>94.2</c:v>
                </c:pt>
                <c:pt idx="10">
                  <c:v>100</c:v>
                </c:pt>
              </c:numCache>
            </c:numRef>
          </c:val>
          <c:extLst>
            <c:ext xmlns:c16="http://schemas.microsoft.com/office/drawing/2014/chart" uri="{C3380CC4-5D6E-409C-BE32-E72D297353CC}">
              <c16:uniqueId val="{00000001-ABF2-4AE3-A4B8-3F543864FD1A}"/>
            </c:ext>
          </c:extLst>
        </c:ser>
        <c:dLbls>
          <c:showLegendKey val="0"/>
          <c:showVal val="0"/>
          <c:showCatName val="0"/>
          <c:showSerName val="0"/>
          <c:showPercent val="0"/>
          <c:showBubbleSize val="0"/>
        </c:dLbls>
        <c:gapWidth val="30"/>
        <c:overlap val="-2"/>
        <c:axId val="550430712"/>
        <c:axId val="550431104"/>
      </c:barChart>
      <c:catAx>
        <c:axId val="550430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31104"/>
        <c:crosses val="autoZero"/>
        <c:auto val="1"/>
        <c:lblAlgn val="ctr"/>
        <c:lblOffset val="100"/>
        <c:noMultiLvlLbl val="0"/>
      </c:catAx>
      <c:valAx>
        <c:axId val="550431104"/>
        <c:scaling>
          <c:orientation val="minMax"/>
          <c:max val="1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Percetage of facilities</a:t>
                </a:r>
              </a:p>
            </c:rich>
          </c:tx>
          <c:layout>
            <c:manualLayout>
              <c:xMode val="edge"/>
              <c:yMode val="edge"/>
              <c:x val="1.6598885201168475E-2"/>
              <c:y val="0.1805172234826578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30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filled"/>
        <c:varyColors val="0"/>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'Overall system assessement'!$A$2:$A$6</c:f>
              <c:strCache>
                <c:ptCount val="5"/>
                <c:pt idx="0">
                  <c:v>M&amp;E structure and functions</c:v>
                </c:pt>
                <c:pt idx="1">
                  <c:v>Guidelines on data collection and reporting </c:v>
                </c:pt>
                <c:pt idx="2">
                  <c:v>Stockout of data tools</c:v>
                </c:pt>
                <c:pt idx="3">
                  <c:v>Data quality and supervision</c:v>
                </c:pt>
                <c:pt idx="4">
                  <c:v>Data use for planning and management </c:v>
                </c:pt>
              </c:strCache>
            </c:strRef>
          </c:cat>
          <c:val>
            <c:numRef>
              <c:f>'Overall system assessement'!$B$2:$B$6</c:f>
              <c:numCache>
                <c:formatCode>0.0</c:formatCode>
                <c:ptCount val="5"/>
                <c:pt idx="0">
                  <c:v>73</c:v>
                </c:pt>
                <c:pt idx="1">
                  <c:v>52.4</c:v>
                </c:pt>
                <c:pt idx="2">
                  <c:v>64.8</c:v>
                </c:pt>
                <c:pt idx="3">
                  <c:v>36.799999999999997</c:v>
                </c:pt>
                <c:pt idx="4">
                  <c:v>57.9</c:v>
                </c:pt>
              </c:numCache>
            </c:numRef>
          </c:val>
          <c:extLst>
            <c:ext xmlns:c16="http://schemas.microsoft.com/office/drawing/2014/chart" uri="{C3380CC4-5D6E-409C-BE32-E72D297353CC}">
              <c16:uniqueId val="{00000000-239D-4593-B4B5-AD48C07B21A3}"/>
            </c:ext>
          </c:extLst>
        </c:ser>
        <c:dLbls>
          <c:showLegendKey val="0"/>
          <c:showVal val="1"/>
          <c:showCatName val="0"/>
          <c:showSerName val="0"/>
          <c:showPercent val="0"/>
          <c:showBubbleSize val="0"/>
        </c:dLbls>
        <c:axId val="550431888"/>
        <c:axId val="550432280"/>
      </c:radarChart>
      <c:catAx>
        <c:axId val="550431888"/>
        <c:scaling>
          <c:orientation val="minMax"/>
        </c:scaling>
        <c:delete val="1"/>
        <c:axPos val="b"/>
        <c:numFmt formatCode="General" sourceLinked="0"/>
        <c:majorTickMark val="none"/>
        <c:minorTickMark val="none"/>
        <c:tickLblPos val="nextTo"/>
        <c:crossAx val="550432280"/>
        <c:crosses val="autoZero"/>
        <c:auto val="1"/>
        <c:lblAlgn val="ctr"/>
        <c:lblOffset val="100"/>
        <c:noMultiLvlLbl val="0"/>
      </c:catAx>
      <c:valAx>
        <c:axId val="55043228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50431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withinLinear" id="15">
  <a:schemeClr val="accent2"/>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8.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0.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9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8.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5E69E-5A72-4DAE-B8AB-63855C61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69</Pages>
  <Words>17227</Words>
  <Characters>98195</Characters>
  <Application>Microsoft Office Word</Application>
  <DocSecurity>0</DocSecurity>
  <Lines>818</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Amumpe</dc:creator>
  <cp:keywords/>
  <dc:description/>
  <cp:lastModifiedBy>Aisha Twalibu</cp:lastModifiedBy>
  <cp:revision>1</cp:revision>
  <cp:lastPrinted>2022-04-05T21:01:00Z</cp:lastPrinted>
  <dcterms:created xsi:type="dcterms:W3CDTF">2019-06-15T09:22:00Z</dcterms:created>
  <dcterms:modified xsi:type="dcterms:W3CDTF">2022-04-06T14:49:00Z</dcterms:modified>
</cp:coreProperties>
</file>